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OCTOBER 2026 · CONFIDENTIAL</w:t>
      </w:r>
    </w:p>
    <w:p>
      <w:pPr>
        <w:pStyle w:val="Title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Bauhinia AI</w:t>
      </w:r>
      <w:r>
        <w:rPr>
          <w:rFonts w:ascii="Noto Sans CJK SC" w:hAnsi="Noto Sans CJK SC" w:eastAsia="Noto Sans CJK SC" w:cs="Noto Sans CJK SC"/>
          <w:b/>
          <w:color w:val="000000"/>
        </w:rPr>
        <w:br/>
      </w:r>
      <w:r>
        <w:rPr>
          <w:rFonts w:ascii="Noto Sans CJK SC" w:hAnsi="Noto Sans CJK SC" w:eastAsia="Noto Sans CJK SC" w:cs="Noto Sans CJK SC"/>
          <w:b/>
          <w:i w:val="0"/>
          <w:color w:val="000000"/>
        </w:rPr>
        <w:t>Pre-A Dataroom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产品、技术与商业化进展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更新于 2026 年 10 月 16 日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金额以美元计，另有标注除外</w:t>
      </w:r>
    </w:p>
    <w:p>
      <w:pPr>
        <w:pStyle w:val="Heading1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0. Executive Summary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Bauhinia AI（紫荆智能）是一家专注于多智能体技术的 AI × 互动娱乐公司。我们希望打造人类与 Agent 共生、持续演化的鲜活世界。Aivilization 是这条路径的第一个商业化产品：让 AI 小人在共同的在线世界中生活，玩家通过养成、经营、建议和观察，参与它们的人生与关系。</w:t>
      </w:r>
    </w:p>
    <w:p>
      <w:pPr>
        <w:pStyle w:val="Heading2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我们相信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最让人沉浸的是破解版的“现实”世界：交互由 context 驱动，事件有因有果；共同经历通过记忆和反思积累，带来新的关系、故事与文化；世界的演化最终围绕玩家的情感、归属和创造展开。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V0 已在真实玩家中验证了情感投射与多 Agent 社交涌现的吸引力；V1 正在将这些能力做成具备完整玩法、视觉品质和商业化循环的多人生活模拟游戏。我们的积累同时发生在产品、Agent 运行与训练内核，以及 AI 原生研发组织三个层面。</w:t>
      </w:r>
    </w:p>
    <w:p>
      <w:r>
        <w:rPr>
          <w:rFonts w:ascii="Noto Sans CJK SC" w:hAnsi="Noto Sans CJK SC" w:eastAsia="Noto Sans CJK SC" w:cs="Noto Sans CJK SC"/>
          <w:b/>
          <w:i w:val="0"/>
          <w:color w:val="000000"/>
        </w:rPr>
        <w:t>5 万</w:t>
      </w: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 xml:space="preserve"> </w:t>
      </w: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V0 两个月累计玩家 · 零投放</w:t>
      </w:r>
    </w:p>
    <w:p>
      <w:r>
        <w:rPr>
          <w:rFonts w:ascii="Noto Sans CJK SC" w:hAnsi="Noto Sans CJK SC" w:eastAsia="Noto Sans CJK SC" w:cs="Noto Sans CJK SC"/>
          <w:b/>
          <w:i w:val="0"/>
          <w:color w:val="000000"/>
        </w:rPr>
        <w:t>13.2%</w:t>
      </w: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 xml:space="preserve"> </w:t>
      </w: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V0 港服 30 日留存</w:t>
      </w:r>
    </w:p>
    <w:p>
      <w:r>
        <w:rPr>
          <w:rFonts w:ascii="Noto Sans CJK SC" w:hAnsi="Noto Sans CJK SC" w:eastAsia="Noto Sans CJK SC" w:cs="Noto Sans CJK SC"/>
          <w:b/>
          <w:i w:val="0"/>
          <w:color w:val="000000"/>
        </w:rPr>
        <w:t>2026.12</w:t>
      </w: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 xml:space="preserve"> </w:t>
      </w: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V1 CBT1 计划</w:t>
      </w:r>
    </w:p>
    <w:p>
      <w:r>
        <w:rPr>
          <w:rFonts w:ascii="Noto Sans CJK SC" w:hAnsi="Noto Sans CJK SC" w:eastAsia="Noto Sans CJK SC" w:cs="Noto Sans CJK SC"/>
          <w:b/>
          <w:i w:val="0"/>
          <w:color w:val="000000"/>
        </w:rPr>
        <w:t>$5M</w:t>
      </w: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 xml:space="preserve"> </w:t>
      </w: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本轮 Pre-A 融资规模</w:t>
      </w:r>
    </w:p>
    <w:p>
      <w:pPr>
        <w:pStyle w:val="Heading2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已经验证与正在推进的事情</w:t>
      </w:r>
    </w:p>
    <w:p>
      <w:pPr>
        <w:ind w:left="255" w:hanging="198"/>
      </w:pP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 xml:space="preserve">• </w:t>
      </w:r>
      <w:r>
        <w:rPr>
          <w:rFonts w:ascii="Noto Sans CJK SC" w:hAnsi="Noto Sans CJK SC" w:eastAsia="Noto Sans CJK SC" w:cs="Noto Sans CJK SC"/>
          <w:b/>
          <w:i w:val="0"/>
          <w:color w:val="000000"/>
        </w:rPr>
        <w:t>真实需求：</w:t>
      </w: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玩家会持续关注自己 Agent 的关系、选择、成长与世界变化。V0 数据是历史测试证据，V1 的主流用户留存和付费能力将通过后续测试验证。</w:t>
      </w:r>
    </w:p>
    <w:p>
      <w:pPr>
        <w:ind w:left="255" w:hanging="198"/>
      </w:pP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 xml:space="preserve">• </w:t>
      </w:r>
      <w:r>
        <w:rPr>
          <w:rFonts w:ascii="Noto Sans CJK SC" w:hAnsi="Noto Sans CJK SC" w:eastAsia="Noto Sans CJK SC" w:cs="Noto Sans CJK SC"/>
          <w:b/>
          <w:i w:val="0"/>
          <w:color w:val="000000"/>
        </w:rPr>
        <w:t>完整产品：</w:t>
      </w: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V1 围绕生活经营、多条目标线、AI 社交、动态内容流与低密度陪伴反馈组织体验，形成反复回到世界的理由。</w:t>
      </w:r>
    </w:p>
    <w:p>
      <w:pPr>
        <w:ind w:left="255" w:hanging="198"/>
      </w:pP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 xml:space="preserve">• </w:t>
      </w:r>
      <w:r>
        <w:rPr>
          <w:rFonts w:ascii="Noto Sans CJK SC" w:hAnsi="Noto Sans CJK SC" w:eastAsia="Noto Sans CJK SC" w:cs="Noto Sans CJK SC"/>
          <w:b/>
          <w:i w:val="0"/>
          <w:color w:val="000000"/>
        </w:rPr>
        <w:t>技术积累：</w:t>
      </w: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运行架构、并行规划、行动预模拟、策略蒸馏和跨世界迁移已有实验依据；训练与评测继续与游戏执行反馈结合。</w:t>
      </w:r>
    </w:p>
    <w:p>
      <w:pPr>
        <w:ind w:left="255" w:hanging="198"/>
      </w:pP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 xml:space="preserve">• </w:t>
      </w:r>
      <w:r>
        <w:rPr>
          <w:rFonts w:ascii="Noto Sans CJK SC" w:hAnsi="Noto Sans CJK SC" w:eastAsia="Noto Sans CJK SC" w:cs="Noto Sans CJK SC"/>
          <w:b/>
          <w:i w:val="0"/>
          <w:color w:val="000000"/>
        </w:rPr>
        <w:t>研发方式：</w:t>
      </w: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内部 Agent 管线把目标、上下文、执行、评审与经验沉淀串起来，支持团队持续交付并积累可复用能力。</w:t>
      </w:r>
    </w:p>
    <w:p>
      <w:pPr>
        <w:pStyle w:val="Heading2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本轮融资与资金安排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98"/>
        <w:gridCol w:w="7040"/>
      </w:tblGrid>
      <w:tr>
        <w:trPr>
          <w:cantSplit/>
          <w:tblHeader w:val="true"/>
        </w:trPr>
        <w:tc>
          <w:tcPr>
            <w:tcW w:type="dxa" w:w="259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项目</w:t>
            </w:r>
          </w:p>
        </w:tc>
        <w:tc>
          <w:tcPr>
            <w:tcW w:type="dxa" w:w="7040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10 月口径</w:t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融资轮次与规模</w:t>
            </w:r>
          </w:p>
        </w:tc>
        <w:tc>
          <w:tcPr>
            <w:tcW w:type="dxa" w:w="7040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Pre-A · US$5M</w:t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投后估值</w:t>
            </w:r>
          </w:p>
        </w:tc>
        <w:tc>
          <w:tcPr>
            <w:tcW w:type="dxa" w:w="7040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US$66.5M</w:t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当前公司资金</w:t>
            </w:r>
          </w:p>
        </w:tc>
        <w:tc>
          <w:tcPr>
            <w:tcW w:type="dxa" w:w="7040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近 US$4M</w:t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融资完成后总储备</w:t>
            </w:r>
          </w:p>
        </w:tc>
        <w:tc>
          <w:tcPr>
            <w:tcW w:type="dxa" w:w="7040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近 US$9M</w:t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总储备用途</w:t>
            </w:r>
          </w:p>
        </w:tc>
        <w:tc>
          <w:tcPr>
            <w:tcW w:type="dxa" w:w="7040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研发 US$4.5M；发行 US$1.5M；Token 补贴储备 US$2M；风险缓冲 US$1M</w:t>
            </w:r>
          </w:p>
        </w:tc>
      </w:tr>
    </w:tbl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本轮资金支持 2026 年 12 月 CBT1 的核心玩法与留存验证、2027 年 3 月起的 Soft Launch 商业化验证，以及 2027 年 5 月的海外上线。RAISe+ 申请作为潜在的额外资金来源单列，不计入上述基础储备。</w:t>
      </w:r>
    </w:p>
    <w:p>
      <w:pPr>
        <w:pStyle w:val="Heading1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1. 团队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团队把多智能体研究、游戏制作与产品运营放在同一个研发体系内。AI 核心成员有长期共事基础，游戏核心成员具有模拟经营与 MMO 的完整项目经验。</w:t>
      </w:r>
    </w:p>
    <w:p>
      <w:pPr>
        <w:keepNext/>
        <w:spacing w:before="100" w:after="100"/>
        <w:jc w:val="center"/>
      </w:pPr>
      <w:r>
        <w:drawing>
          <wp:inline xmlns:a="http://schemas.openxmlformats.org/drawingml/2006/main" xmlns:pic="http://schemas.openxmlformats.org/drawingml/2006/picture">
            <wp:extent cx="972000" cy="972000"/>
            <wp:docPr id="1" name="Picture 1" descr="创始人杨浩巍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12-oliver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72000" cy="97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杨浩巍 Oliver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Founder &amp; CEO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2023 年创办 Bauhinia AI；香港科技大学数学博士在读，曾获港科大数学 MPhil，数学与计算机本科背景</w:t>
      </w:r>
    </w:p>
    <w:p>
      <w:pPr>
        <w:keepNext/>
        <w:spacing w:before="100" w:after="100"/>
        <w:jc w:val="center"/>
      </w:pPr>
      <w:r>
        <w:drawing>
          <wp:inline xmlns:a="http://schemas.openxmlformats.org/drawingml/2006/main" xmlns:pic="http://schemas.openxmlformats.org/drawingml/2006/picture">
            <wp:extent cx="972000" cy="972000"/>
            <wp:docPr id="2" name="Picture 2" descr="联创徐培琰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12-xu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72000" cy="97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徐培琰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Co-founder &amp; 执行制作人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前完美世界游戏策划，《淡墨水云乡》主策划／项目负责人、《诛仙 2》数值与商业化策划；北京大学经济学本科</w:t>
      </w:r>
    </w:p>
    <w:p>
      <w:pPr>
        <w:keepNext/>
        <w:spacing w:before="100" w:after="100"/>
        <w:jc w:val="center"/>
      </w:pPr>
      <w:r>
        <w:drawing>
          <wp:inline xmlns:a="http://schemas.openxmlformats.org/drawingml/2006/main" xmlns:pic="http://schemas.openxmlformats.org/drawingml/2006/picture">
            <wp:extent cx="972000" cy="972000"/>
            <wp:docPr id="3" name="Picture 3" descr="联创王小龙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12-wang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72000" cy="97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王小龙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Co-founder &amp; CTO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2023 年起任 Bauhinia AI CTO；香港科技大学数学博士在读，中国科学技术大学数学本科</w:t>
      </w:r>
    </w:p>
    <w:p>
      <w:pPr>
        <w:keepNext/>
        <w:spacing w:before="100" w:after="100"/>
        <w:jc w:val="center"/>
      </w:pPr>
      <w:r>
        <w:drawing>
          <wp:inline xmlns:a="http://schemas.openxmlformats.org/drawingml/2006/main" xmlns:pic="http://schemas.openxmlformats.org/drawingml/2006/picture">
            <wp:extent cx="972000" cy="972000"/>
            <wp:docPr id="4" name="Picture 4" descr="联创陈子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12-chen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72000" cy="97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陈子耕 Zayne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Co-founder &amp; COO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2023 年起任 Bauhinia AI COO；前腾讯产品经理，Rutgers University 信息技术与商业分析本科</w:t>
      </w:r>
    </w:p>
    <w:p>
      <w:pPr>
        <w:pStyle w:val="Heading2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1.1 团队结构与协作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 xml:space="preserve">按 2026 年 10 月融资 Deck 披露，团队为 </w:t>
      </w:r>
      <w:r>
        <w:rPr>
          <w:rFonts w:ascii="Noto Sans CJK SC" w:hAnsi="Noto Sans CJK SC" w:eastAsia="Noto Sans CJK SC" w:cs="Noto Sans CJK SC"/>
          <w:b/>
          <w:i w:val="0"/>
          <w:color w:val="000000"/>
        </w:rPr>
        <w:t>33 人全职、17 人技术团队</w:t>
      </w: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，包括 6 位博士／博士生及 6 位硕士，平均年龄约 26 岁。AI 与游戏核心成员分别拥有多年合作经历。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随着研发任务进入 Agent 层，团队出现了研发策划、Agent 策划、Game Harness、跨管线 Agent、Review 与 Reflection 等新的职责。人类负责人更多承担方向、设计、审美、约束和交付判断，Agent 承担可执行任务，并将每轮修正沉淀为后续工作可复用的规范与能力。</w:t>
      </w:r>
    </w:p>
    <w:p>
      <w:pPr>
        <w:pStyle w:val="Heading2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1.2 产学研合作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公司与香港科技大学已签署 IP 授权及 Contract Research 合作协议，对已有与未来研究成果的归属作出约定。团队以公司产品研发推动研究成果验证与商业化，并继续通过大学合作推进技术研究和 RAISe+ 申请。</w:t>
      </w:r>
    </w:p>
    <w:p>
      <w:pPr>
        <w:pStyle w:val="Heading1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2. 产品与验证</w:t>
      </w:r>
    </w:p>
    <w:p>
      <w:pPr>
        <w:pStyle w:val="Heading2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2.1 V0 验证了什么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V0 是 2025 年上线的网页技术演示版。玩家创建 Agent，赋予性格、生平和目标，通过目标设定、评论和对话影响它的生活；Agent 在共同世界中工作、社交、积累经历，玩家从日记和行为记录中观察结果。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它验证了三个相连的体验：玩家会把情感投射到自己的数字生命；Agent 与 Agent 的持续互动会产生可观察的关系与故事；玩家愿意围绕这些故事交流和分享。V0 的品质、内容与商业化完整度均不代表 V1。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073"/>
        <w:gridCol w:w="2782"/>
        <w:gridCol w:w="2782"/>
      </w:tblGrid>
      <w:tr>
        <w:trPr>
          <w:cantSplit/>
          <w:tblHeader w:val="true"/>
        </w:trPr>
        <w:tc>
          <w:tcPr>
            <w:tcW w:type="dxa" w:w="4073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留存指标</w:t>
            </w:r>
          </w:p>
        </w:tc>
        <w:tc>
          <w:tcPr>
            <w:tcW w:type="dxa" w:w="2782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三服合计</w:t>
            </w:r>
          </w:p>
        </w:tc>
        <w:tc>
          <w:tcPr>
            <w:tcW w:type="dxa" w:w="2782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港服</w:t>
            </w:r>
          </w:p>
        </w:tc>
      </w:tr>
      <w:tr>
        <w:trPr>
          <w:cantSplit/>
        </w:trPr>
        <w:tc>
          <w:tcPr>
            <w:tcW w:type="dxa" w:w="4073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次日留存 D1</w:t>
            </w:r>
          </w:p>
        </w:tc>
        <w:tc>
          <w:tcPr>
            <w:tcW w:type="dxa" w:w="2782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38.1%</w:t>
            </w:r>
          </w:p>
        </w:tc>
        <w:tc>
          <w:tcPr>
            <w:tcW w:type="dxa" w:w="2782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44.3%</w:t>
            </w:r>
          </w:p>
        </w:tc>
      </w:tr>
      <w:tr>
        <w:trPr>
          <w:cantSplit/>
        </w:trPr>
        <w:tc>
          <w:tcPr>
            <w:tcW w:type="dxa" w:w="4073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7 日留存 D7</w:t>
            </w:r>
          </w:p>
        </w:tc>
        <w:tc>
          <w:tcPr>
            <w:tcW w:type="dxa" w:w="2782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20.8%</w:t>
            </w:r>
          </w:p>
        </w:tc>
        <w:tc>
          <w:tcPr>
            <w:tcW w:type="dxa" w:w="2782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26.3%</w:t>
            </w:r>
          </w:p>
        </w:tc>
      </w:tr>
      <w:tr>
        <w:trPr>
          <w:cantSplit/>
        </w:trPr>
        <w:tc>
          <w:tcPr>
            <w:tcW w:type="dxa" w:w="4073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14 日留存 D14</w:t>
            </w:r>
          </w:p>
        </w:tc>
        <w:tc>
          <w:tcPr>
            <w:tcW w:type="dxa" w:w="2782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12.4%</w:t>
            </w:r>
          </w:p>
        </w:tc>
        <w:tc>
          <w:tcPr>
            <w:tcW w:type="dxa" w:w="2782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21.6%</w:t>
            </w:r>
          </w:p>
        </w:tc>
      </w:tr>
      <w:tr>
        <w:trPr>
          <w:cantSplit/>
        </w:trPr>
        <w:tc>
          <w:tcPr>
            <w:tcW w:type="dxa" w:w="4073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30 日留存 D30</w:t>
            </w:r>
          </w:p>
        </w:tc>
        <w:tc>
          <w:tcPr>
            <w:tcW w:type="dxa" w:w="2782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9.5%</w:t>
            </w:r>
          </w:p>
        </w:tc>
        <w:tc>
          <w:tcPr>
            <w:tcW w:type="dxa" w:w="2782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13.2%</w:t>
            </w:r>
          </w:p>
        </w:tc>
      </w:tr>
    </w:tbl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数据口径：V0 于 2025-08-20 上线，两个月累计约 5 万玩家。留存表来自 2025-09-20 起六周内进入游戏的约 1.2 万真实玩家；此前首月 BI 尚未全量打点。测试为网页端、零投放、无付费系统，未做系统性的游戏化留存优化。港服与合计差异是观察结果，不单独证明密度与留存的因果关系。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V0 核心玩家平均单次会话约 2 小时，单 Agent 月推理成本约 US$2。前者描述核心玩家行为，后者是当时运行条件下的成本实测；二者均不是 V1 全体用户的经营结果。</w:t>
      </w:r>
    </w:p>
    <w:p>
      <w:pPr>
        <w:pStyle w:val="Heading2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2.2 V1 定位与世界设定</w:t>
      </w:r>
    </w:p>
    <w:p>
      <w:r>
        <w:rPr>
          <w:rFonts w:ascii="Noto Sans CJK SC" w:hAnsi="Noto Sans CJK SC" w:eastAsia="Noto Sans CJK SC" w:cs="Noto Sans CJK SC"/>
          <w:b/>
          <w:i w:val="0"/>
          <w:color w:val="000000"/>
        </w:rPr>
        <w:t>AI小镇：星原 · 我的心愿，替我自由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V1 是 AI-native 多人在线生活模拟社交游戏。所有玩家的 AI 小人在同一个在线世界中生活、交朋友、成长；玩家养成、引导和观察它们，并通过经营与选择，改变小人及世界的下一段故事。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题材采用“镜中世界”：日常生活中的人类物品成为微型文明的地形、资源和文化，例如茶壶火山、巧克力田。世界的视觉、角色关系、基础规则与服务共同构成持续扩展的底座。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核心种子用户包括治愈、养成和模拟经营用户，办公室碎片时间用户，以及 AI 尝鲜者；后续向休闲挂机、社交及世界观用户扩展。具体画像由测试中的留存、行为深度、分享和付费意愿校准。</w:t>
      </w:r>
    </w:p>
    <w:p>
      <w:pPr>
        <w:keepNext/>
        <w:spacing w:before="100" w:after="100"/>
        <w:jc w:val="center"/>
      </w:pPr>
      <w:r>
        <w:drawing>
          <wp:inline xmlns:a="http://schemas.openxmlformats.org/drawingml/2006/main" xmlns:pic="http://schemas.openxmlformats.org/drawingml/2006/picture">
            <wp:extent cx="6120000" cy="3822814"/>
            <wp:docPr id="5" name="Picture 5" descr="V1 世界总览研发美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ld-overview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8228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V1 世界总览 · 当前研发美术</w:t>
      </w:r>
    </w:p>
    <w:p>
      <w:pPr>
        <w:pStyle w:val="Heading2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2.3 核心循环与长期成长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066"/>
        <w:gridCol w:w="6572"/>
      </w:tblGrid>
      <w:tr>
        <w:trPr>
          <w:cantSplit/>
          <w:tblHeader w:val="true"/>
        </w:trPr>
        <w:tc>
          <w:tcPr>
            <w:tcW w:type="dxa" w:w="3066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玩家回来做什么</w:t>
            </w:r>
          </w:p>
        </w:tc>
        <w:tc>
          <w:tcPr>
            <w:tcW w:type="dxa" w:w="6572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对下一次体验的影响</w:t>
            </w:r>
          </w:p>
        </w:tc>
      </w:tr>
      <w:tr>
        <w:trPr>
          <w:cantSplit/>
        </w:trPr>
        <w:tc>
          <w:tcPr>
            <w:tcW w:type="dxa" w:w="3066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看影响与新鲜事</w:t>
            </w:r>
          </w:p>
        </w:tc>
        <w:tc>
          <w:tcPr>
            <w:tcW w:type="dxa" w:w="6572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上次的经营、建议和设定带来目标进展、关系变化、城市事件或意外分支</w:t>
            </w:r>
          </w:p>
        </w:tc>
      </w:tr>
      <w:tr>
        <w:trPr>
          <w:cantSplit/>
        </w:trPr>
        <w:tc>
          <w:tcPr>
            <w:tcW w:type="dxa" w:w="3066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经营与提供环境</w:t>
            </w:r>
          </w:p>
        </w:tc>
        <w:tc>
          <w:tcPr>
            <w:tcW w:type="dxa" w:w="6572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种植、收获、售卖、布置家园，为小人的目标提供资源、工具和环境</w:t>
            </w:r>
          </w:p>
        </w:tc>
      </w:tr>
      <w:tr>
        <w:trPr>
          <w:cantSplit/>
        </w:trPr>
        <w:tc>
          <w:tcPr>
            <w:tcW w:type="dxa" w:w="3066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点选操作与建议</w:t>
            </w:r>
          </w:p>
        </w:tc>
        <w:tc>
          <w:tcPr>
            <w:tcW w:type="dxa" w:w="6572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参与选择，调整目标、风险边界和生活方向</w:t>
            </w:r>
          </w:p>
        </w:tc>
      </w:tr>
      <w:tr>
        <w:trPr>
          <w:cantSplit/>
        </w:trPr>
        <w:tc>
          <w:tcPr>
            <w:tcW w:type="dxa" w:w="3066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刷动态与关系线</w:t>
            </w:r>
          </w:p>
        </w:tc>
        <w:tc>
          <w:tcPr>
            <w:tcW w:type="dxa" w:w="6572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小人动态、AI-AI 社交与城市新闻形成可消费、可分享的内容流</w:t>
            </w:r>
          </w:p>
        </w:tc>
      </w:tr>
      <w:tr>
        <w:trPr>
          <w:cantSplit/>
        </w:trPr>
        <w:tc>
          <w:tcPr>
            <w:tcW w:type="dxa" w:w="3066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小窗化低密度反馈</w:t>
            </w:r>
          </w:p>
        </w:tc>
        <w:tc>
          <w:tcPr>
            <w:tcW w:type="dxa" w:w="6572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世界继续推进，桌宠状态与自选提示提供轻量反馈，适配碎片时间</w:t>
            </w:r>
          </w:p>
        </w:tc>
      </w:tr>
    </w:tbl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任务结构由多条目标线交错推进：长期线持续积累，例如为数月后的登山训练；短期线制造眼前选择，例如今晚约会前的穿搭。经营产出支持养成，小人能力成长解锁主城内容，关系和共同记忆进一步带来新故事与社交绑定。</w:t>
      </w:r>
    </w:p>
    <w:p>
      <w:pPr>
        <w:pStyle w:val="Heading2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2.4 留存与多端接入</w:t>
      </w:r>
    </w:p>
    <w:p>
      <w:r>
        <w:rPr>
          <w:rFonts w:ascii="Noto Sans CJK SC" w:hAnsi="Noto Sans CJK SC" w:eastAsia="Noto Sans CJK SC" w:cs="Noto Sans CJK SC"/>
          <w:b/>
          <w:i w:val="0"/>
          <w:color w:val="000000"/>
        </w:rPr>
        <w:t>前期由内容驱动：</w:t>
      </w: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模拟经营与能力成长持续解锁新内容，让玩家对小人的未来产生期待。</w:t>
      </w:r>
      <w:r>
        <w:rPr>
          <w:rFonts w:ascii="Noto Sans CJK SC" w:hAnsi="Noto Sans CJK SC" w:eastAsia="Noto Sans CJK SC" w:cs="Noto Sans CJK SC"/>
          <w:b/>
          <w:i w:val="0"/>
          <w:color w:val="000000"/>
        </w:rPr>
        <w:t>中期转向情感和社交：</w:t>
      </w: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AI 社交涌现、城市参与与共同经历积累关系。</w:t>
      </w:r>
      <w:r>
        <w:rPr>
          <w:rFonts w:ascii="Noto Sans CJK SC" w:hAnsi="Noto Sans CJK SC" w:eastAsia="Noto Sans CJK SC" w:cs="Noto Sans CJK SC"/>
          <w:b/>
          <w:i w:val="0"/>
          <w:color w:val="000000"/>
        </w:rPr>
        <w:t>后期依靠长期连接：</w:t>
      </w: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角色羁绊、真人社交绑定与持续新增玩法共同支撑留存。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长期接入设计覆盖 PC、桌宠、网页、小程序、移动端及硬件，围绕同一个在线世界提供不同密度的交互。具体测试端与首发范围按版本就绪度逐阶段确定。</w:t>
      </w:r>
    </w:p>
    <w:p>
      <w:pPr>
        <w:pStyle w:val="Heading2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2.5 当前研发重点与测试入口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当前处于 V1 商业化版本研发阶段，已形成视觉基准、交互界面、Agent 运行架构和 SE／SO 世界机制的展示材料。现阶段重点是把角色决策、多人世界、家园经营、关系与目标线组织成完整可重复体验，再通过 CBT 验证主流用户是否理解、是否持续回来，以及愿意为何种价值付费。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下方附录展示视觉与机制片段。美术图、独立实验、机制演示及完整产品测试承担不同证明责任；CBT1 计划于 2026 年 12 月开展。</w:t>
      </w:r>
    </w:p>
    <w:p>
      <w:pPr>
        <w:pStyle w:val="Heading1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3. 市场与时机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Aivilization 处在游戏、AI 陪伴与社交创作的交集。我们的切入点是生活模拟与长期关系：先交付一个愿意反复进入的世界，再扩大世界里的内容供给。</w:t>
      </w:r>
    </w:p>
    <w:p>
      <w:pPr>
        <w:pStyle w:val="Heading2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3.1 市场空间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 xml:space="preserve">Newzoo 的 2026 年公开预测为全球游戏收入 </w:t>
      </w:r>
      <w:r>
        <w:rPr>
          <w:rFonts w:ascii="Noto Sans CJK SC" w:hAnsi="Noto Sans CJK SC" w:eastAsia="Noto Sans CJK SC" w:cs="Noto Sans CJK SC"/>
          <w:b/>
          <w:i w:val="0"/>
          <w:color w:val="000000"/>
        </w:rPr>
        <w:t>US$213.9B</w:t>
      </w: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 xml:space="preserve">、同比增长 </w:t>
      </w:r>
      <w:r>
        <w:rPr>
          <w:rFonts w:ascii="Noto Sans CJK SC" w:hAnsi="Noto Sans CJK SC" w:eastAsia="Noto Sans CJK SC" w:cs="Noto Sans CJK SC"/>
          <w:b/>
          <w:i w:val="0"/>
          <w:color w:val="000000"/>
        </w:rPr>
        <w:t>6.1%</w:t>
      </w: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，其中移动端 US$121.1B、PC US$45.9B、主机 US$46.9B。这是行业总盘，不能直接等同于 Aivilization 可获取的市场。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来源：</w:t>
      </w:r>
      <w:hyperlink r:id="rId15">
        <w:r>
          <w:rPr>
            <w:rFonts w:ascii="Noto Sans CJK SC" w:hAnsi="Noto Sans CJK SC" w:eastAsia="Noto Sans CJK SC" w:cs="Noto Sans CJK SC"/>
            <w:b w:val="0"/>
            <w:i w:val="0"/>
            <w:color w:val="6B2B8E"/>
          </w:rPr>
          <w:t>Newzoo · 2026 Global games market key numbers</w:t>
        </w:r>
      </w:hyperlink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，2026-08-25，数据为预测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874"/>
        <w:gridCol w:w="4198"/>
        <w:gridCol w:w="3566"/>
      </w:tblGrid>
      <w:tr>
        <w:trPr>
          <w:cantSplit/>
          <w:tblHeader w:val="true"/>
        </w:trPr>
        <w:tc>
          <w:tcPr>
            <w:tcW w:type="dxa" w:w="1874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相邻需求</w:t>
            </w:r>
          </w:p>
        </w:tc>
        <w:tc>
          <w:tcPr>
            <w:tcW w:type="dxa" w:w="419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成熟产品提供的参照</w:t>
            </w:r>
          </w:p>
        </w:tc>
        <w:tc>
          <w:tcPr>
            <w:tcW w:type="dxa" w:w="3566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Aivilization 的推进方向</w:t>
            </w:r>
          </w:p>
        </w:tc>
      </w:tr>
      <w:tr>
        <w:trPr>
          <w:cantSplit/>
        </w:trPr>
        <w:tc>
          <w:tcPr>
            <w:tcW w:type="dxa" w:w="1874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生活模拟与情感投射</w:t>
            </w:r>
          </w:p>
        </w:tc>
        <w:tc>
          <w:tcPr>
            <w:tcW w:type="dxa" w:w="419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The Sims、Animal Crossing、Tomodachi Life</w:t>
            </w:r>
          </w:p>
        </w:tc>
        <w:tc>
          <w:tcPr>
            <w:tcW w:type="dxa" w:w="3566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让角色记住共同经历，长期形成独特人格和关系</w:t>
            </w:r>
          </w:p>
        </w:tc>
      </w:tr>
      <w:tr>
        <w:trPr>
          <w:cantSplit/>
        </w:trPr>
        <w:tc>
          <w:tcPr>
            <w:tcW w:type="dxa" w:w="1874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社交世界与玩家创作</w:t>
            </w:r>
          </w:p>
        </w:tc>
        <w:tc>
          <w:tcPr>
            <w:tcW w:type="dxa" w:w="419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Roblox、Minecraft、心动小镇</w:t>
            </w:r>
          </w:p>
        </w:tc>
        <w:tc>
          <w:tcPr>
            <w:tcW w:type="dxa" w:w="3566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让共同世界持续运行，并逐步降低创作内容的门槛</w:t>
            </w:r>
          </w:p>
        </w:tc>
      </w:tr>
      <w:tr>
        <w:trPr>
          <w:cantSplit/>
        </w:trPr>
        <w:tc>
          <w:tcPr>
            <w:tcW w:type="dxa" w:w="1874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系统涌现与故事</w:t>
            </w:r>
          </w:p>
        </w:tc>
        <w:tc>
          <w:tcPr>
            <w:tcW w:type="dxa" w:w="419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RimWorld、Dwarf Fortress</w:t>
            </w:r>
          </w:p>
        </w:tc>
        <w:tc>
          <w:tcPr>
            <w:tcW w:type="dxa" w:w="3566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在规则与世界状态约束下，引入自然语言、记忆与认知驱动的变化</w:t>
            </w:r>
          </w:p>
        </w:tc>
      </w:tr>
      <w:tr>
        <w:trPr>
          <w:cantSplit/>
        </w:trPr>
        <w:tc>
          <w:tcPr>
            <w:tcW w:type="dxa" w:w="1874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AI 角色与陪伴</w:t>
            </w:r>
          </w:p>
        </w:tc>
        <w:tc>
          <w:tcPr>
            <w:tcW w:type="dxa" w:w="419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Character.AI、Tolan、EVE 等</w:t>
            </w:r>
          </w:p>
        </w:tc>
        <w:tc>
          <w:tcPr>
            <w:tcW w:type="dxa" w:w="3566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把长期关系放进可行动、可共同生活的多人世界</w:t>
            </w:r>
          </w:p>
        </w:tc>
      </w:tr>
    </w:tbl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这些产品说明了相邻需求的存在，但产品结构和收入口径不同。我们的可服务用户与实际付费规模，应从测试中识别出的核心人群、渠道转化与长期留存自下而上建立。</w:t>
      </w:r>
    </w:p>
    <w:p>
      <w:pPr>
        <w:pStyle w:val="Heading2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3.2 为什么现在具备落地条件</w:t>
      </w:r>
    </w:p>
    <w:p>
      <w:r>
        <w:rPr>
          <w:rFonts w:ascii="Noto Sans CJK SC" w:hAnsi="Noto Sans CJK SC" w:eastAsia="Noto Sans CJK SC" w:cs="Noto Sans CJK SC"/>
          <w:b/>
          <w:i w:val="0"/>
          <w:color w:val="000000"/>
        </w:rPr>
        <w:t>Agent 的可用性：</w:t>
      </w: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上下文、记忆、工具与评测体系不断成熟，使角色的长期一致性和语言到行动的衔接更可控。</w:t>
      </w:r>
      <w:r>
        <w:rPr>
          <w:rFonts w:ascii="Noto Sans CJK SC" w:hAnsi="Noto Sans CJK SC" w:eastAsia="Noto Sans CJK SC" w:cs="Noto Sans CJK SC"/>
          <w:b/>
          <w:i w:val="0"/>
          <w:color w:val="000000"/>
        </w:rPr>
        <w:t>推理经济性：</w:t>
      </w: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模型路由、缓存及蒸馏让高频运行有了工程优化空间，V0 成本提供了实际起点。</w:t>
      </w:r>
      <w:r>
        <w:rPr>
          <w:rFonts w:ascii="Noto Sans CJK SC" w:hAnsi="Noto Sans CJK SC" w:eastAsia="Noto Sans CJK SC" w:cs="Noto Sans CJK SC"/>
          <w:b/>
          <w:i w:val="0"/>
          <w:color w:val="000000"/>
        </w:rPr>
        <w:t>内容品质：</w:t>
      </w: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以高品质基础素材、风格约束与生产管线支持生成，让内容能够进入消费级产品。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这三条进展需要同时体现在真实体验中。我们不以通用模型进步替代产品验证，也不在基础预算中预设固定的年度推理降价幅度。</w:t>
      </w:r>
    </w:p>
    <w:p>
      <w:pPr>
        <w:pStyle w:val="Heading1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4. 竞争定位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我们沿两个维度推进：世界能否记住、主动行动和持续演化；玩家能否获得清晰、美观、可长期参与的游戏体验。目标是把持续世界的智能与成熟产品的可玩性同时做出来。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032"/>
        <w:gridCol w:w="2993"/>
        <w:gridCol w:w="2613"/>
      </w:tblGrid>
      <w:tr>
        <w:trPr>
          <w:cantSplit/>
          <w:tblHeader w:val="true"/>
        </w:trPr>
        <w:tc>
          <w:tcPr>
            <w:tcW w:type="dxa" w:w="4032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产品与路线</w:t>
            </w:r>
          </w:p>
        </w:tc>
        <w:tc>
          <w:tcPr>
            <w:tcW w:type="dxa" w:w="2993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已有优势</w:t>
            </w:r>
          </w:p>
        </w:tc>
        <w:tc>
          <w:tcPr>
            <w:tcW w:type="dxa" w:w="2613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我们的差异化重点</w:t>
            </w:r>
          </w:p>
        </w:tc>
      </w:tr>
      <w:tr>
        <w:trPr>
          <w:cantSplit/>
        </w:trPr>
        <w:tc>
          <w:tcPr>
            <w:tcW w:type="dxa" w:w="4032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The Sims、Animal Crossing、心动小镇、inZOI 等生活模拟</w:t>
            </w:r>
          </w:p>
        </w:tc>
        <w:tc>
          <w:tcPr>
            <w:tcW w:type="dxa" w:w="2993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成熟的成长、经营、审美与社交体验；部分产品已引入 AI 角色</w:t>
            </w:r>
          </w:p>
        </w:tc>
        <w:tc>
          <w:tcPr>
            <w:tcW w:type="dxa" w:w="2613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以记忆、Agent 行动和持续世界状态组织底层体验</w:t>
            </w:r>
          </w:p>
        </w:tc>
      </w:tr>
      <w:tr>
        <w:trPr>
          <w:cantSplit/>
        </w:trPr>
        <w:tc>
          <w:tcPr>
            <w:tcW w:type="dxa" w:w="4032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星布谷地、逆水寒、Whisper from the Star 等探索</w:t>
            </w:r>
          </w:p>
        </w:tc>
        <w:tc>
          <w:tcPr>
            <w:tcW w:type="dxa" w:w="2993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大厂内容与表现能力，以及 AI 角色、记忆或陪伴交互的产品化尝试</w:t>
            </w:r>
          </w:p>
        </w:tc>
        <w:tc>
          <w:tcPr>
            <w:tcW w:type="dxa" w:w="2613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验证多角色、物品、事件与关系协同运行的世界系统</w:t>
            </w:r>
          </w:p>
        </w:tc>
      </w:tr>
      <w:tr>
        <w:trPr>
          <w:cantSplit/>
        </w:trPr>
        <w:tc>
          <w:tcPr>
            <w:tcW w:type="dxa" w:w="4032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Character.AI、星野、Replika、Tolan、EVE 等</w:t>
            </w:r>
          </w:p>
        </w:tc>
        <w:tc>
          <w:tcPr>
            <w:tcW w:type="dxa" w:w="2993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角色关系、对话陪伴与内容供给</w:t>
            </w:r>
          </w:p>
        </w:tc>
        <w:tc>
          <w:tcPr>
            <w:tcW w:type="dxa" w:w="2613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把对话的后果落入世界行为、关系网络与共同经历</w:t>
            </w:r>
          </w:p>
        </w:tc>
      </w:tr>
      <w:tr>
        <w:trPr>
          <w:cantSplit/>
        </w:trPr>
        <w:tc>
          <w:tcPr>
            <w:tcW w:type="dxa" w:w="4032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RimWorld、Dwarf Fortress、AI Dungeon／AI 跑团、Pax Historia 等</w:t>
            </w:r>
          </w:p>
        </w:tc>
        <w:tc>
          <w:tcPr>
            <w:tcW w:type="dxa" w:w="2993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系统涌现、开放行动或自然语言叙事</w:t>
            </w:r>
          </w:p>
        </w:tc>
        <w:tc>
          <w:tcPr>
            <w:tcW w:type="dxa" w:w="2613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结合生活模拟的视觉、经营与长期社交结构</w:t>
            </w:r>
          </w:p>
        </w:tc>
      </w:tr>
      <w:tr>
        <w:trPr>
          <w:cantSplit/>
        </w:trPr>
        <w:tc>
          <w:tcPr>
            <w:tcW w:type="dxa" w:w="4032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Smallville、Project Sid 等研究与实验</w:t>
            </w:r>
          </w:p>
        </w:tc>
        <w:tc>
          <w:tcPr>
            <w:tcW w:type="dxa" w:w="2993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验证生成式 Agent 与群体行为的可能性</w:t>
            </w:r>
          </w:p>
        </w:tc>
        <w:tc>
          <w:tcPr>
            <w:tcW w:type="dxa" w:w="2613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在真实用户、运行成本、完整玩法和商业化中持续验证</w:t>
            </w:r>
          </w:p>
        </w:tc>
      </w:tr>
    </w:tbl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本表为截至 2026 年 10 月的公司产品定位分析，参照当前融资 Deck 的竞争图谱；不是第三方性能排名，亦不推断其他团队未公开的技术能力</w:t>
      </w:r>
    </w:p>
    <w:p>
      <w:pPr>
        <w:pStyle w:val="Heading2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4.1 我们重点积累的优势</w:t>
      </w:r>
    </w:p>
    <w:p>
      <w:pPr>
        <w:ind w:left="255" w:hanging="198"/>
      </w:pP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 xml:space="preserve">• </w:t>
      </w:r>
      <w:r>
        <w:rPr>
          <w:rFonts w:ascii="Noto Sans CJK SC" w:hAnsi="Noto Sans CJK SC" w:eastAsia="Noto Sans CJK SC" w:cs="Noto Sans CJK SC"/>
          <w:b/>
          <w:i w:val="0"/>
          <w:color w:val="000000"/>
        </w:rPr>
        <w:t>产品与研究共同迭代：</w:t>
      </w: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真实玩家的行动、对话与反馈用于发现问题，实验与游戏执行用于检验改进。</w:t>
      </w:r>
    </w:p>
    <w:p>
      <w:pPr>
        <w:ind w:left="255" w:hanging="198"/>
      </w:pP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 xml:space="preserve">• </w:t>
      </w:r>
      <w:r>
        <w:rPr>
          <w:rFonts w:ascii="Noto Sans CJK SC" w:hAnsi="Noto Sans CJK SC" w:eastAsia="Noto Sans CJK SC" w:cs="Noto Sans CJK SC"/>
          <w:b/>
          <w:i w:val="0"/>
          <w:color w:val="000000"/>
        </w:rPr>
        <w:t>持续世界的工程能力：</w:t>
      </w: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记忆、规划、执行、状态与多人互动在同一架构中协作。</w:t>
      </w:r>
    </w:p>
    <w:p>
      <w:pPr>
        <w:ind w:left="255" w:hanging="198"/>
      </w:pP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 xml:space="preserve">• </w:t>
      </w:r>
      <w:r>
        <w:rPr>
          <w:rFonts w:ascii="Noto Sans CJK SC" w:hAnsi="Noto Sans CJK SC" w:eastAsia="Noto Sans CJK SC" w:cs="Noto Sans CJK SC"/>
          <w:b/>
          <w:i w:val="0"/>
          <w:color w:val="000000"/>
        </w:rPr>
        <w:t>可复用的生产体系：</w:t>
      </w: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研发流程、内容基准、评测和人工修正能够被下一次任务继承。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这些优势仍需在 V1 的留存、成本与交付速度中继续证明。行业进展会持续改变竞争边界，产品测试与实际交付是我们判断差异化是否成立的依据。</w:t>
      </w:r>
    </w:p>
    <w:p>
      <w:bookmarkStart w:id="1" w:name="technology_title"/>
      <w:pPr>
        <w:pStyle w:val="Heading1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5. 技术与组织壁垒</w:t>
      </w:r>
      <w:bookmarkEnd w:id="1"/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Bauhinia 的技术积累围绕同一个问题展开：让多个角色在持续运行的世界里，记住共同经历、主动建立关系，并把语言中的意图落实为可执行的行动。产品侧的 Agent 架构与研发侧的 Agent 管线相互促进：前者产生可验证的行为和反馈，后者把这些反馈用于测试、定位问题和改进生产方法。</w:t>
      </w:r>
    </w:p>
    <w:p>
      <w:pPr>
        <w:pStyle w:val="Heading2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5.1 运行架构：世界状态、记忆与行动形成连续反馈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角色决策同时读取场景事件、玩家行为、自身目标与社会关系。记忆持续参与规划，执行结果再写回世界与角色状态。引擎负责决策，游戏系统负责画面呈现、动画和实际执行，使对话与行动围绕同一份世界状态展开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755"/>
        <w:gridCol w:w="4048"/>
        <w:gridCol w:w="3835"/>
      </w:tblGrid>
      <w:tr>
        <w:trPr>
          <w:cantSplit/>
          <w:tblHeader w:val="true"/>
        </w:trPr>
        <w:tc>
          <w:tcPr>
            <w:tcW w:type="dxa" w:w="1755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环节</w:t>
            </w:r>
          </w:p>
        </w:tc>
        <w:tc>
          <w:tcPr>
            <w:tcW w:type="dxa" w:w="404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系统承担的工作</w:t>
            </w:r>
          </w:p>
        </w:tc>
        <w:tc>
          <w:tcPr>
            <w:tcW w:type="dxa" w:w="3835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对应的玩家体验</w:t>
            </w:r>
          </w:p>
        </w:tc>
      </w:tr>
      <w:tr>
        <w:trPr>
          <w:cantSplit/>
        </w:trPr>
        <w:tc>
          <w:tcPr>
            <w:tcW w:type="dxa" w:w="1755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感知</w:t>
            </w:r>
          </w:p>
        </w:tc>
        <w:tc>
          <w:tcPr>
            <w:tcW w:type="dxa" w:w="404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读取场景与事件、在场玩家、对话及行为变化。</w:t>
            </w:r>
          </w:p>
        </w:tc>
        <w:tc>
          <w:tcPr>
            <w:tcW w:type="dxa" w:w="3835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角色能根据当下情境回应，而非重复一套固定台词。</w:t>
            </w:r>
          </w:p>
        </w:tc>
      </w:tr>
      <w:tr>
        <w:trPr>
          <w:cantSplit/>
        </w:trPr>
        <w:tc>
          <w:tcPr>
            <w:tcW w:type="dxa" w:w="1755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认知与规划</w:t>
            </w:r>
          </w:p>
        </w:tc>
        <w:tc>
          <w:tcPr>
            <w:tcW w:type="dxa" w:w="404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判断注意力与互动时机，并行维护多项目标，协调时间和资源。</w:t>
            </w:r>
          </w:p>
        </w:tc>
        <w:tc>
          <w:tcPr>
            <w:tcW w:type="dxa" w:w="3835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角色在工作、成长与社交之间作出选择，长期目标影响日常行动。</w:t>
            </w:r>
          </w:p>
        </w:tc>
      </w:tr>
      <w:tr>
        <w:trPr>
          <w:cantSplit/>
        </w:trPr>
        <w:tc>
          <w:tcPr>
            <w:tcW w:type="dxa" w:w="1755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预模拟与执行</w:t>
            </w:r>
          </w:p>
        </w:tc>
        <w:tc>
          <w:tcPr>
            <w:tcW w:type="dxa" w:w="404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执行前检查世界约束；发生冲突时局部修复，再调用动作、工具与交互。</w:t>
            </w:r>
          </w:p>
        </w:tc>
        <w:tc>
          <w:tcPr>
            <w:tcW w:type="dxa" w:w="3835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角色说出的计划能进入世界执行，减少语言承诺与实际行为脱节。</w:t>
            </w:r>
          </w:p>
        </w:tc>
      </w:tr>
      <w:tr>
        <w:trPr>
          <w:cantSplit/>
        </w:trPr>
        <w:tc>
          <w:tcPr>
            <w:tcW w:type="dxa" w:w="1755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世界与关系反馈</w:t>
            </w:r>
          </w:p>
        </w:tc>
        <w:tc>
          <w:tcPr>
            <w:tcW w:type="dxa" w:w="404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行为改变后续状态，结果进入记忆和下一轮决策。</w:t>
            </w:r>
          </w:p>
        </w:tc>
        <w:tc>
          <w:tcPr>
            <w:tcW w:type="dxa" w:w="3835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共同经历会影响关系与未来互动，玩家上次的参与留下可见后果。</w:t>
            </w:r>
          </w:p>
        </w:tc>
      </w:tr>
    </w:tbl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记忆包括短期上下文、长期经历、人格与关系档案，以及有边界的群体共享记忆。角色之间可按边界传播事件与记忆，同时保留各自的信息和经历。记忆与模型解耦，使世界知识和事件能够独立更新。主动社交则在这一基础上判断何时回应、发起交流或组织多人协作。</w:t>
      </w:r>
    </w:p>
    <w:p>
      <w:pPr>
        <w:pStyle w:val="Heading2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5.2 训练与评测：把角色表现拆成可以检查的能力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训练体系结合多教师在线蒸馏、场景化后训练，以及监督微调、强化学习和策略蒸馏，覆盖任务与逻辑、角色与社交、事实与安全等能力。评价分三层进行：规则底线检查安全与行为约束；客观任务评价检查是否正确、有效；主观角色评价检查人设、共情与互动质量。具体维度包括人设一致性、事实准确性、记忆相关性、行动有效性与安全边界。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游戏和沙盒提供执行环境：运行任务、自动测试与采样、定位失败原因、更新策略或模型，再进行回归测试与人工采纳。执行轨迹、失败样例和玩家反馈由此进入下一轮改进。同一套执行与反馈能力也用于自动玩测，帮助研发团队验证角色决策与实际游戏状态是否一致。</w:t>
      </w:r>
    </w:p>
    <w:p>
      <w:pPr>
        <w:pStyle w:val="Heading2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5.3 六组实验结果及适用范围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以下结果来自公司 RAISe+ 申请 Deck 第 4–5 页，已纳入当前正式融资 Deck。各项对应不同实验或审计口径，分别列示，便于技术尽调核验。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720"/>
        <w:gridCol w:w="3935"/>
        <w:gridCol w:w="3983"/>
      </w:tblGrid>
      <w:tr>
        <w:trPr>
          <w:cantSplit/>
          <w:tblHeader w:val="true"/>
        </w:trPr>
        <w:tc>
          <w:tcPr>
            <w:tcW w:type="dxa" w:w="1720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实验 / 审计</w:t>
            </w:r>
          </w:p>
        </w:tc>
        <w:tc>
          <w:tcPr>
            <w:tcW w:type="dxa" w:w="3935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已披露结果</w:t>
            </w:r>
          </w:p>
        </w:tc>
        <w:tc>
          <w:tcPr>
            <w:tcW w:type="dxa" w:w="3983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指标边界</w:t>
            </w:r>
          </w:p>
        </w:tc>
      </w:tr>
      <w:tr>
        <w:trPr>
          <w:cantSplit/>
        </w:trPr>
        <w:tc>
          <w:tcPr>
            <w:tcW w:type="dxa" w:w="1720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多维目标并行规划</w:t>
            </w:r>
          </w:p>
        </w:tc>
        <w:tc>
          <w:tcPr>
            <w:tcW w:type="dxa" w:w="3935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 xml:space="preserve">长期学习得分约 </w:t>
            </w: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3.3 倍</w:t>
            </w: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；完整系统 20.90，去除分支规划后 6.39。</w:t>
            </w:r>
          </w:p>
        </w:tc>
        <w:tc>
          <w:tcPr>
            <w:tcW w:type="dxa" w:w="3983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E1 消融实验中的长期学习得分，衡量对应任务下分支规划的贡献。</w:t>
            </w:r>
          </w:p>
        </w:tc>
      </w:tr>
      <w:tr>
        <w:trPr>
          <w:cantSplit/>
        </w:trPr>
        <w:tc>
          <w:tcPr>
            <w:tcW w:type="dxa" w:w="1720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行动预模拟与局部修复</w:t>
            </w:r>
          </w:p>
        </w:tc>
        <w:tc>
          <w:tcPr>
            <w:tcW w:type="dxa" w:w="3935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95.2%</w:t>
            </w: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 xml:space="preserve"> 原动作类型保留率。</w:t>
            </w:r>
          </w:p>
        </w:tc>
        <w:tc>
          <w:tcPr>
            <w:tcW w:type="dxa" w:w="3983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E1 意图保留审计；该数值描述修复后保留原动作类型的比例，不能解读为任务成功率。</w:t>
            </w:r>
          </w:p>
        </w:tc>
      </w:tr>
      <w:tr>
        <w:trPr>
          <w:cantSplit/>
        </w:trPr>
        <w:tc>
          <w:tcPr>
            <w:tcW w:type="dxa" w:w="1720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策略蒸馏与协同决策</w:t>
            </w:r>
          </w:p>
        </w:tc>
        <w:tc>
          <w:tcPr>
            <w:tcW w:type="dxa" w:w="3935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 xml:space="preserve">整体平均速度 </w:t>
            </w: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1.81 倍</w:t>
            </w: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 xml:space="preserve">；模型调用与 Token 消耗降至基线的 </w:t>
            </w: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1/10–1/100</w:t>
            </w: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。</w:t>
            </w:r>
          </w:p>
        </w:tc>
        <w:tc>
          <w:tcPr>
            <w:tcW w:type="dxa" w:w="3983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Qwen3.5-27B 蒸馏方案对照 GPT-5.4 多智能体基线；该范围随对应任务而变化。</w:t>
            </w:r>
          </w:p>
        </w:tc>
      </w:tr>
      <w:tr>
        <w:trPr>
          <w:cantSplit/>
        </w:trPr>
        <w:tc>
          <w:tcPr>
            <w:tcW w:type="dxa" w:w="1720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有效任务成功率</w:t>
            </w:r>
          </w:p>
        </w:tc>
        <w:tc>
          <w:tcPr>
            <w:tcW w:type="dxa" w:w="3935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98%</w:t>
            </w: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，对照 Odyssey 的 84%，提高 14 个百分点。</w:t>
            </w:r>
          </w:p>
        </w:tc>
        <w:tc>
          <w:tcPr>
            <w:tcW w:type="dxa" w:w="3983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对应规划与策略内核的有效任务评测。</w:t>
            </w:r>
          </w:p>
        </w:tc>
      </w:tr>
      <w:tr>
        <w:trPr>
          <w:cantSplit/>
        </w:trPr>
        <w:tc>
          <w:tcPr>
            <w:tcW w:type="dxa" w:w="1720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任务完成耗时</w:t>
            </w:r>
          </w:p>
        </w:tc>
        <w:tc>
          <w:tcPr>
            <w:tcW w:type="dxa" w:w="3935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 xml:space="preserve">降低 </w:t>
            </w: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39–58%</w:t>
            </w: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；447–1,263 秒，对照 914–2,616 秒。</w:t>
            </w:r>
          </w:p>
        </w:tc>
        <w:tc>
          <w:tcPr>
            <w:tcW w:type="dxa" w:w="3983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对应任务耗时实验，与成功率实验分开统计。</w:t>
            </w:r>
          </w:p>
        </w:tc>
      </w:tr>
      <w:tr>
        <w:trPr>
          <w:cantSplit/>
        </w:trPr>
        <w:tc>
          <w:tcPr>
            <w:tcW w:type="dxa" w:w="1720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跨世界迁移</w:t>
            </w:r>
          </w:p>
        </w:tc>
        <w:tc>
          <w:tcPr>
            <w:tcW w:type="dxa" w:w="3935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 xml:space="preserve">同一核心复用到 </w:t>
            </w: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2 个异构世界</w:t>
            </w: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 xml:space="preserve">；对应迁移测试任务 </w:t>
            </w: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100% 完成</w:t>
            </w: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。</w:t>
            </w:r>
          </w:p>
        </w:tc>
        <w:tc>
          <w:tcPr>
            <w:tcW w:type="dxa" w:w="3983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完成率仅限申请材料列示的迁移测试任务，不能外推到任意世界或全部游戏任务。</w:t>
            </w:r>
          </w:p>
        </w:tc>
      </w:tr>
    </w:tbl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这些结果验证规划、修复、蒸馏与迁移等内核能力。V1 的玩家留存、线上延迟、并发承载和商业化单位成本仍需在后续产品测试中按各自口径验证。</w:t>
      </w:r>
    </w:p>
    <w:p>
      <w:pPr>
        <w:pStyle w:val="Heading2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5.4 已披露的技术资产</w:t>
      </w:r>
    </w:p>
    <w:p>
      <w:pPr>
        <w:ind w:left="255" w:hanging="198"/>
      </w:pP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 xml:space="preserve">• </w:t>
      </w:r>
      <w:r>
        <w:rPr>
          <w:rFonts w:ascii="Noto Sans CJK SC" w:hAnsi="Noto Sans CJK SC" w:eastAsia="Noto Sans CJK SC" w:cs="Noto Sans CJK SC"/>
          <w:b/>
          <w:i w:val="0"/>
          <w:color w:val="000000"/>
        </w:rPr>
        <w:t>发明专利申请：</w:t>
      </w: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CN122840099A，已公布、实质审查中；当前状态为申请，尚未列为已授权专利。</w:t>
      </w:r>
    </w:p>
    <w:p>
      <w:pPr>
        <w:ind w:left="255" w:hanging="198"/>
      </w:pP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 xml:space="preserve">• </w:t>
      </w:r>
      <w:r>
        <w:rPr>
          <w:rFonts w:ascii="Noto Sans CJK SC" w:hAnsi="Noto Sans CJK SC" w:eastAsia="Noto Sans CJK SC" w:cs="Noto Sans CJK SC"/>
          <w:b/>
          <w:i w:val="0"/>
          <w:color w:val="000000"/>
        </w:rPr>
        <w:t>软件著作权登记：</w:t>
      </w: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行为规划、就业与经济调节相关软件著作权。</w:t>
      </w:r>
    </w:p>
    <w:p>
      <w:pPr>
        <w:ind w:left="255" w:hanging="198"/>
      </w:pP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 xml:space="preserve">• </w:t>
      </w:r>
      <w:r>
        <w:rPr>
          <w:rFonts w:ascii="Noto Sans CJK SC" w:hAnsi="Noto Sans CJK SC" w:eastAsia="Noto Sans CJK SC" w:cs="Noto Sans CJK SC"/>
          <w:b/>
          <w:i w:val="0"/>
          <w:color w:val="000000"/>
        </w:rPr>
        <w:t>公开论文：</w:t>
      </w:r>
      <w:hyperlink r:id="rId16">
        <w:r>
          <w:rPr>
            <w:rFonts w:ascii="Noto Sans CJK SC" w:hAnsi="Noto Sans CJK SC" w:eastAsia="Noto Sans CJK SC" w:cs="Noto Sans CJK SC"/>
            <w:b w:val="0"/>
            <w:i w:val="0"/>
            <w:color w:val="6B2B8E"/>
          </w:rPr>
          <w:t>arXiv:2602.10429</w:t>
        </w:r>
      </w:hyperlink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。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公开技术成果与运行中的工程体系共同构成积累。具体应用价值还取决于能否在多人持续世界中稳定执行，以及能否通过测试与反馈不断修正。</w:t>
      </w:r>
    </w:p>
    <w:p>
      <w:pPr>
        <w:pStyle w:val="Heading2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5.5 内部 Agentic Production OS：让人员经验进入后续任务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当前 Agent 研发管线面向内部专业团队。团队正在把策划、美术、客户端、测试及复盘接入可复用的工作流：Agent 读取代码、设计稿、资产规范、世界规则与历史决策，调用编辑器和资源工具完成接入、构建与测试，再依据日志、画面和验收反馈定位问题、返工。Harness 在这里承担工具接入、任务状态与反馈衔接。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人员负责方向、审美、规则约束、权限、关键验收和发布责任；Agent 承担可执行的研发工作。AI 策划、研发策划、Game Harness、跨管线 Agent、review Agent 和 reflection Agent 等分工，围绕这一协作方式逐步形成。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974"/>
        <w:gridCol w:w="4147"/>
        <w:gridCol w:w="3516"/>
      </w:tblGrid>
      <w:tr>
        <w:trPr>
          <w:cantSplit/>
          <w:tblHeader w:val="true"/>
        </w:trPr>
        <w:tc>
          <w:tcPr>
            <w:tcW w:type="dxa" w:w="1974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已有案例</w:t>
            </w:r>
          </w:p>
        </w:tc>
        <w:tc>
          <w:tcPr>
            <w:tcW w:type="dxa" w:w="4147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披露结果</w:t>
            </w:r>
          </w:p>
        </w:tc>
        <w:tc>
          <w:tcPr>
            <w:tcW w:type="dxa" w:w="3516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如何理解</w:t>
            </w:r>
          </w:p>
        </w:tc>
      </w:tr>
      <w:tr>
        <w:trPr>
          <w:cantSplit/>
        </w:trPr>
        <w:tc>
          <w:tcPr>
            <w:tcW w:type="dxa" w:w="1974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Unity UI 功能工作流</w:t>
            </w:r>
          </w:p>
        </w:tc>
        <w:tc>
          <w:tcPr>
            <w:tcW w:type="dxa" w:w="4147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 xml:space="preserve">将美术、Figma、Unity、C#、QA 与人审串联；一个功能案例从过去 </w:t>
            </w: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1–2 天缩短到约 30 分钟</w:t>
            </w: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。</w:t>
            </w:r>
          </w:p>
        </w:tc>
        <w:tc>
          <w:tcPr>
            <w:tcW w:type="dxa" w:w="3516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是特定功能工作流的交付案例；人工仍参与确认、微调与验收。</w:t>
            </w:r>
          </w:p>
        </w:tc>
      </w:tr>
      <w:tr>
        <w:trPr>
          <w:cantSplit/>
        </w:trPr>
        <w:tc>
          <w:tcPr>
            <w:tcW w:type="dxa" w:w="1974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静态美术资产筛选</w:t>
            </w:r>
          </w:p>
        </w:tc>
        <w:tc>
          <w:tcPr>
            <w:tcW w:type="dxa" w:w="4147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1,044 个候选 → 38 个选用资产</w:t>
            </w: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。</w:t>
            </w:r>
          </w:p>
        </w:tc>
        <w:tc>
          <w:tcPr>
            <w:tcW w:type="dxa" w:w="3516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体现候选生成与选择过程；候选数和选用数不能直接换算为公司整体效率或质量提升倍数。</w:t>
            </w:r>
          </w:p>
        </w:tc>
      </w:tr>
    </w:tbl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团队持续建设的经验沉淀机制是：</w:t>
      </w:r>
      <w:r>
        <w:rPr>
          <w:rFonts w:ascii="Noto Sans CJK SC" w:hAnsi="Noto Sans CJK SC" w:eastAsia="Noto Sans CJK SC" w:cs="Noto Sans CJK SC"/>
          <w:b/>
          <w:i w:val="0"/>
          <w:color w:val="000000"/>
        </w:rPr>
        <w:t>人员示范与纠错 → Skills、规范与操作流程 → 验收样例及回归测试 → 后续任务复用并迭代</w:t>
      </w: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。例如，人员指出“角色动画必须与游戏状态同步”，可进一步形成接入规则、联动检查和验收样例，使后续同类任务继承这条经验。这里的经验提炼指研发方法与 Harness 的积累，不代表已完成专有模型训练。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这套组织能力的价值，取决于每次交付能否留下下一次可用的上下文、规则和测试。随着资产与功能增加，人工修正、测试失败和评审分歧会成为后续任务的输入，减少重复摸索。</w:t>
      </w:r>
    </w:p>
    <w:p>
      <w:pPr>
        <w:pStyle w:val="Heading2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5.6 未来方向：把内部生产能力逐步开放为玩家共创</w:t>
      </w:r>
    </w:p>
    <w:p>
      <w:r>
        <w:rPr>
          <w:rFonts w:ascii="Noto Sans CJK SC" w:hAnsi="Noto Sans CJK SC" w:eastAsia="Noto Sans CJK SC" w:cs="Noto Sans CJK SC"/>
          <w:b/>
          <w:i w:val="0"/>
          <w:color w:val="000000"/>
        </w:rPr>
        <w:t>状态说明：</w:t>
      </w: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目前管线供内部团队使用。玩家 UGC、下述健身房玩法及 Agent 自主选玩均为后续能力方向，尚未作为面向玩家的开放功能发布。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演进方向是提高自动化和验证能力，降低使用者的操作负担与所需专业审核程度，再将内部工具逐步转化为玩家创作能力。创作范围希望覆盖地图、场景、物品、建筑、角色、动画和动作，并进一步组合为完整的游戏内容与玩法。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创作底座由团队持续打磨：对齐的高品质资产与接入规范、世界故事与角色关系、可运行的交互规则，以及多人、存档和服务端等基础服务。玩家在共同底座上扩展内容，可以继承世界已有的风格、关系和规则。</w:t>
      </w:r>
    </w:p>
    <w:p>
      <w:r>
        <w:rPr>
          <w:rFonts w:ascii="Noto Sans CJK SC" w:hAnsi="Noto Sans CJK SC" w:eastAsia="Noto Sans CJK SC" w:cs="Noto Sans CJK SC"/>
          <w:b/>
          <w:i w:val="0"/>
          <w:color w:val="000000"/>
        </w:rPr>
        <w:t>以“给小镇搭一家可以健身的健身房”为例：</w:t>
      </w: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完整内容需要串起三个层次，而不止生成一张建筑图片。</w:t>
      </w:r>
    </w:p>
    <w:p>
      <w:pPr>
        <w:ind w:left="255" w:hanging="198"/>
      </w:pP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 xml:space="preserve">1. </w:t>
      </w:r>
      <w:r>
        <w:rPr>
          <w:rFonts w:ascii="Noto Sans CJK SC" w:hAnsi="Noto Sans CJK SC" w:eastAsia="Noto Sans CJK SC" w:cs="Noto Sans CJK SC"/>
          <w:b/>
          <w:i w:val="0"/>
          <w:color w:val="000000"/>
        </w:rPr>
        <w:t>空间与物件：</w:t>
      </w: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安排场地布局，生成并接入器械与可交互物品，定义角色能在哪里、以什么方式使用它们。</w:t>
      </w:r>
    </w:p>
    <w:p>
      <w:pPr>
        <w:ind w:left="255" w:hanging="198"/>
      </w:pP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 xml:space="preserve">2. </w:t>
      </w:r>
      <w:r>
        <w:rPr>
          <w:rFonts w:ascii="Noto Sans CJK SC" w:hAnsi="Noto Sans CJK SC" w:eastAsia="Noto Sans CJK SC" w:cs="Noto Sans CJK SC"/>
          <w:b/>
          <w:i w:val="0"/>
          <w:color w:val="000000"/>
        </w:rPr>
        <w:t>行为与画面：</w:t>
      </w: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让角色接近并使用器械，保证动作动画、画面呈现与实际游戏状态同步。</w:t>
      </w:r>
    </w:p>
    <w:p>
      <w:pPr>
        <w:ind w:left="255" w:hanging="198"/>
      </w:pP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 xml:space="preserve">3. </w:t>
      </w:r>
      <w:r>
        <w:rPr>
          <w:rFonts w:ascii="Noto Sans CJK SC" w:hAnsi="Noto Sans CJK SC" w:eastAsia="Noto Sans CJK SC" w:cs="Noto Sans CJK SC"/>
          <w:b/>
          <w:i w:val="0"/>
          <w:color w:val="000000"/>
        </w:rPr>
        <w:t>规则与成长：</w:t>
      </w: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配置训练项目、体力消耗、能力成长等数值规则；通过联调、测试与试玩，形成可参与、可持续迭代的健身玩法。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长期希望全球玩家持续扩展同一个世界；玩家自己的 Agent 按玩家偏好自主挑选、参与和体验其中的内容。内容创造、实际体验与反馈由此连接起来。实现这一方向，仍需持续提高生成结果的可运行性、规则一致性和可玩性，并通过真实试玩决定哪些内容值得保留。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资料口径：截至 2026 年 10 月 16 日。运行架构、训练评测、实验与技术资产对应</w:t>
      </w:r>
      <w:hyperlink r:id="rId17">
        <w:r>
          <w:rPr>
            <w:rFonts w:ascii="Noto Sans CJK SC" w:hAnsi="Noto Sans CJK SC" w:eastAsia="Noto Sans CJK SC" w:cs="Noto Sans CJK SC"/>
            <w:b w:val="0"/>
            <w:i w:val="0"/>
            <w:color w:val="6B2B8E"/>
          </w:rPr>
          <w:t>正式融资 Deck 第 10–11 页</w:t>
        </w:r>
      </w:hyperlink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及公司 RAISe+ 申请 Deck 第 4–5 页；内部组织与案例对应</w:t>
      </w:r>
      <w:hyperlink r:id="rId18">
        <w:r>
          <w:rPr>
            <w:rFonts w:ascii="Noto Sans CJK SC" w:hAnsi="Noto Sans CJK SC" w:eastAsia="Noto Sans CJK SC" w:cs="Noto Sans CJK SC"/>
            <w:b w:val="0"/>
            <w:i w:val="0"/>
            <w:color w:val="6B2B8E"/>
          </w:rPr>
          <w:t>正式融资 Deck 第 12 页</w:t>
        </w:r>
      </w:hyperlink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。未来 UGC 方向依据公司最新产品规划列示，与当前内部能力分开说明。</w:t>
      </w:r>
    </w:p>
    <w:p>
      <w:pPr>
        <w:pStyle w:val="Heading1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6. 公司战略与产品路线</w:t>
      </w:r>
    </w:p>
    <w:p>
      <w:r>
        <w:rPr>
          <w:rFonts w:ascii="Noto Sans CJK SC" w:hAnsi="Noto Sans CJK SC" w:eastAsia="Noto Sans CJK SC" w:cs="Noto Sans CJK SC"/>
          <w:b/>
          <w:i w:val="0"/>
          <w:color w:val="000000"/>
        </w:rPr>
        <w:t>先把 Aivilization 做成玩家愿意持续进入、并能形成健康商业循环的产品，再把经过产品验证的能力逐步沉淀为可复用的技术与生产体系。</w:t>
      </w: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产品验证是当前工作的中心：玩家是否愿意回来、是否与小人形成关系、是否愿意为扩展体验付费，都需要由 V1 测试和运营数据回答。</w:t>
      </w:r>
    </w:p>
    <w:p>
      <w:pPr>
        <w:pStyle w:val="Heading2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6.1 产品主线：一个持续生活、持续产生新故事的世界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Aivilization V1 的产品方向是「AI小镇：星原」——玩家养成、引导并观察自己的 AI 小人，与其他玩家的小人共同生活在一个持续运行的世界中。镜中世界的题材、家园经营、角色成长、关系网络与城市事件，共同为玩家提供反复回来的理由。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产品不只依靠 AI 对话维持新鲜感。经营提供资源与环境，建议影响小人的选择，多条人生与关系目标线留下下一次上线的剧情钩子；朋友圈式动态和低密度反馈，让世界能够进入玩家的日常碎片时间。前期以内容和成长带动参与，中后期逐步验证情感连接、社交关系与持续更新的留存作用。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PC、桌面小窗、网页、小程序、移动端等接入方式服务于同一个世界的设想，具体端形态与发布顺序随体验验证和版本准备推进；多端不等于同时首发。每一阶段优先保证核心循环成立，再扩展内容、社交深度与接入场景。</w:t>
      </w:r>
    </w:p>
    <w:p>
      <w:pPr>
        <w:pStyle w:val="Heading2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6.2 技术主线：由真实产品推动 Agentic World Engine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我们把持续世界中的感知、记忆、规划、执行与反馈能力，沉淀为可复用的 Agentic World 技术体系。Aivilization 提供高频、连续的真实场景，暴露角色一致性、世界状态同步、行动有效性和成本等问题；技术改进再回到产品中，接受玩家体验和运行数据的检验。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791"/>
        <w:gridCol w:w="3780"/>
        <w:gridCol w:w="4068"/>
      </w:tblGrid>
      <w:tr>
        <w:trPr>
          <w:cantSplit/>
          <w:tblHeader w:val="true"/>
        </w:trPr>
        <w:tc>
          <w:tcPr>
            <w:tcW w:type="dxa" w:w="1791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能力层</w:t>
            </w:r>
          </w:p>
        </w:tc>
        <w:tc>
          <w:tcPr>
            <w:tcW w:type="dxa" w:w="3780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当前作用</w:t>
            </w:r>
          </w:p>
        </w:tc>
        <w:tc>
          <w:tcPr>
            <w:tcW w:type="dxa" w:w="406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后续验证方向</w:t>
            </w:r>
          </w:p>
        </w:tc>
      </w:tr>
      <w:tr>
        <w:trPr>
          <w:cantSplit/>
        </w:trPr>
        <w:tc>
          <w:tcPr>
            <w:tcW w:type="dxa" w:w="1791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持续世界与角色运行</w:t>
            </w:r>
          </w:p>
        </w:tc>
        <w:tc>
          <w:tcPr>
            <w:tcW w:type="dxa" w:w="3780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让角色的对话、记忆、目标和行动共享世界状态，支持多人长期互动</w:t>
            </w:r>
          </w:p>
        </w:tc>
        <w:tc>
          <w:tcPr>
            <w:tcW w:type="dxa" w:w="406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在 V1 测试中验证稳定性、体验、规模与成本，形成可迁移的接口和评测</w:t>
            </w:r>
          </w:p>
        </w:tc>
      </w:tr>
      <w:tr>
        <w:trPr>
          <w:cantSplit/>
        </w:trPr>
        <w:tc>
          <w:tcPr>
            <w:tcW w:type="dxa" w:w="1791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训练与评价体系</w:t>
            </w:r>
          </w:p>
        </w:tc>
        <w:tc>
          <w:tcPr>
            <w:tcW w:type="dxa" w:w="3780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通过任务、角色、安全等维度评估能力，让执行轨迹与失败样例进入下一轮改进</w:t>
            </w:r>
          </w:p>
        </w:tc>
        <w:tc>
          <w:tcPr>
            <w:tcW w:type="dxa" w:w="406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把实验结果与真实游戏表现连接起来，持续验证模型和策略更新的收益</w:t>
            </w:r>
          </w:p>
        </w:tc>
      </w:tr>
      <w:tr>
        <w:trPr>
          <w:cantSplit/>
        </w:trPr>
        <w:tc>
          <w:tcPr>
            <w:tcW w:type="dxa" w:w="1791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引擎与对外服务</w:t>
            </w:r>
          </w:p>
        </w:tc>
        <w:tc>
          <w:tcPr>
            <w:tcW w:type="dxa" w:w="3780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优先支撑自研产品，在真实需求中打磨可复用能力</w:t>
            </w:r>
          </w:p>
        </w:tc>
        <w:tc>
          <w:tcPr>
            <w:tcW w:type="dxa" w:w="406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待产品和接口成熟后，探索面向其他产品、开发者与创作者的服务；目前不作为已实现收入</w:t>
            </w:r>
          </w:p>
        </w:tc>
      </w:tr>
    </w:tbl>
    <w:p>
      <w:r>
        <w:rPr>
          <w:rFonts w:ascii="Noto Sans CJK SC" w:hAnsi="Noto Sans CJK SC" w:eastAsia="Noto Sans CJK SC" w:cs="Noto Sans CJK SC"/>
          <w:b/>
          <w:i w:val="0"/>
          <w:color w:val="000000"/>
        </w:rPr>
        <w:t>与 World Model 的结合属于探索方向。</w:t>
      </w: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我们关注以 Agent 负责目标、记忆、规则和持续调度，以生成式表现层承接世界呈现的可能性。该方向仍需验证可控性、交互一致性、时延与成本，不等同于已经替代传统游戏引擎，也不构成当前商业化成立的前提。</w:t>
      </w:r>
    </w:p>
    <w:p>
      <w:pPr>
        <w:pStyle w:val="Heading2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6.3 组织能力与玩家共创：从内部生产到逐步开放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内部 Agent 生产管线服务于当前研发：把设计、资产、代码、测试与人工反馈连接起来，将示范和纠错沉淀为可复用的 Skills、规范、操作流程、验收样例与回归测试。其价值是提高交付和验证效率，减少重复沟通，并让后续任务继承前序经验。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长期方向是先提高管线自动化、降低操作负担和所需专业审核程度，再逐步开放为玩家 UGC 的基础。统一的美术、世界设定、基础规则和后端服务，为创作者提供共同底座；玩家创作可以从地图、物品、角色动作逐步延伸到游戏内容与玩法。</w:t>
      </w:r>
      <w:r>
        <w:rPr>
          <w:rFonts w:ascii="Noto Sans CJK SC" w:hAnsi="Noto Sans CJK SC" w:eastAsia="Noto Sans CJK SC" w:cs="Noto Sans CJK SC"/>
          <w:b/>
          <w:i w:val="0"/>
          <w:color w:val="000000"/>
        </w:rPr>
        <w:t>当前生产管线用于内部团队，玩家可用的开放创作能力仍是后续方向。</w:t>
      </w:r>
    </w:p>
    <w:p>
      <w:pPr>
        <w:pStyle w:val="Heading2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6.4 Memory 的复用：先改善持续体验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角色经历、共同记忆、玩家主动表达的偏好与互动历史，可以帮助同一世界中的角色更连贯地理解关系、延续故事，也为后续产品提供个性化体验的技术基础。真正可复用的是记忆结构、检索与边界机制，以及经过验证的评测方法。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涉及个人数据的跨场景、跨产品使用，应以明确的用途、用户授权和适用规则为前提，保持访问边界与用户控制。未来的数据复用空间需在这些条件下逐步验证。</w:t>
      </w:r>
    </w:p>
    <w:p>
      <w:pPr>
        <w:pStyle w:val="Heading2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6.5 按验证结果分配投入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809"/>
        <w:gridCol w:w="5828"/>
      </w:tblGrid>
      <w:tr>
        <w:trPr>
          <w:cantSplit/>
          <w:tblHeader w:val="true"/>
        </w:trPr>
        <w:tc>
          <w:tcPr>
            <w:tcW w:type="dxa" w:w="3809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验证结果</w:t>
            </w:r>
          </w:p>
        </w:tc>
        <w:tc>
          <w:tcPr>
            <w:tcW w:type="dxa" w:w="582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下一步</w:t>
            </w:r>
          </w:p>
        </w:tc>
      </w:tr>
      <w:tr>
        <w:trPr>
          <w:cantSplit/>
        </w:trPr>
        <w:tc>
          <w:tcPr>
            <w:tcW w:type="dxa" w:w="3809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核心循环、留存与付费表现达到阶段要求</w:t>
            </w:r>
          </w:p>
        </w:tc>
        <w:tc>
          <w:tcPr>
            <w:tcW w:type="dxa" w:w="582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逐步扩大测试和发行范围，增加内容、社交深度与商业化验证</w:t>
            </w:r>
          </w:p>
        </w:tc>
      </w:tr>
      <w:tr>
        <w:trPr>
          <w:cantSplit/>
        </w:trPr>
        <w:tc>
          <w:tcPr>
            <w:tcW w:type="dxa" w:w="3809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部分人群或玩法成立，整体尚需打磨</w:t>
            </w:r>
          </w:p>
        </w:tc>
        <w:tc>
          <w:tcPr>
            <w:tcW w:type="dxa" w:w="582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聚焦表现更好的客群与循环，缩小改动范围，复测后再决定扩量</w:t>
            </w:r>
          </w:p>
        </w:tc>
      </w:tr>
      <w:tr>
        <w:trPr>
          <w:cantSplit/>
        </w:trPr>
        <w:tc>
          <w:tcPr>
            <w:tcW w:type="dxa" w:w="3809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核心体验或成本未过关</w:t>
            </w:r>
          </w:p>
        </w:tc>
        <w:tc>
          <w:tcPr>
            <w:tcW w:type="dxa" w:w="582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暂停扩量，优先修复问题并控制消耗；必要时收缩产品范围，保留可复用技术与组织能力</w:t>
            </w:r>
          </w:p>
        </w:tc>
      </w:tr>
    </w:tbl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公司价值需要通过产品和持续交付建立。引擎、Memory 与组织能力为跨产品复用提供基础，但这些方向不能替代当前产品的用户验证和商业验证。</w:t>
      </w:r>
    </w:p>
    <w:p>
      <w:pPr>
        <w:pStyle w:val="Heading1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7. 商业化模型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商业化围绕玩家对小人生活、表达和长期关系的投入展开，采用免费进入、订阅／通行证与内购的混合结构。付费点、价格和节奏由测试验证。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976"/>
        <w:gridCol w:w="3725"/>
        <w:gridCol w:w="3936"/>
      </w:tblGrid>
      <w:tr>
        <w:trPr>
          <w:cantSplit/>
          <w:tblHeader w:val="true"/>
        </w:trPr>
        <w:tc>
          <w:tcPr>
            <w:tcW w:type="dxa" w:w="1976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层次</w:t>
            </w:r>
          </w:p>
        </w:tc>
        <w:tc>
          <w:tcPr>
            <w:tcW w:type="dxa" w:w="3725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拟提供价值</w:t>
            </w:r>
          </w:p>
        </w:tc>
        <w:tc>
          <w:tcPr>
            <w:tcW w:type="dxa" w:w="3936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验证问题</w:t>
            </w:r>
          </w:p>
        </w:tc>
      </w:tr>
      <w:tr>
        <w:trPr>
          <w:cantSplit/>
        </w:trPr>
        <w:tc>
          <w:tcPr>
            <w:tcW w:type="dxa" w:w="1976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免费进入</w:t>
            </w:r>
          </w:p>
        </w:tc>
        <w:tc>
          <w:tcPr>
            <w:tcW w:type="dxa" w:w="3725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体验核心生活、经营与关系循环</w:t>
            </w:r>
          </w:p>
        </w:tc>
        <w:tc>
          <w:tcPr>
            <w:tcW w:type="dxa" w:w="3936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自然留存、分享、推理资源消耗是否健康</w:t>
            </w:r>
          </w:p>
        </w:tc>
      </w:tr>
      <w:tr>
        <w:trPr>
          <w:cantSplit/>
        </w:trPr>
        <w:tc>
          <w:tcPr>
            <w:tcW w:type="dxa" w:w="1976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通行证／订阅</w:t>
            </w:r>
          </w:p>
        </w:tc>
        <w:tc>
          <w:tcPr>
            <w:tcW w:type="dxa" w:w="3725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扩展 Agent 数量、能力与长期体验</w:t>
            </w:r>
          </w:p>
        </w:tc>
        <w:tc>
          <w:tcPr>
            <w:tcW w:type="dxa" w:w="3936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付费转化、续订、付费与免费用户体验是否平衡</w:t>
            </w:r>
          </w:p>
        </w:tc>
      </w:tr>
      <w:tr>
        <w:trPr>
          <w:cantSplit/>
        </w:trPr>
        <w:tc>
          <w:tcPr>
            <w:tcW w:type="dxa" w:w="1976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外观内购</w:t>
            </w:r>
          </w:p>
        </w:tc>
        <w:tc>
          <w:tcPr>
            <w:tcW w:type="dxa" w:w="3725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小人外观、家园家具与个性表达</w:t>
            </w:r>
          </w:p>
        </w:tc>
        <w:tc>
          <w:tcPr>
            <w:tcW w:type="dxa" w:w="3936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审美需求、消费深度与复购</w:t>
            </w:r>
          </w:p>
        </w:tc>
      </w:tr>
      <w:tr>
        <w:trPr>
          <w:cantSplit/>
        </w:trPr>
        <w:tc>
          <w:tcPr>
            <w:tcW w:type="dxa" w:w="1976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社交付费</w:t>
            </w:r>
          </w:p>
        </w:tc>
        <w:tc>
          <w:tcPr>
            <w:tcW w:type="dxa" w:w="3725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社交货币、送礼与社交平台高级功能</w:t>
            </w:r>
          </w:p>
        </w:tc>
        <w:tc>
          <w:tcPr>
            <w:tcW w:type="dxa" w:w="3936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关系价值、参与度与社区健康</w:t>
            </w:r>
          </w:p>
        </w:tc>
      </w:tr>
    </w:tbl>
    <w:p>
      <w:pPr>
        <w:pStyle w:val="Heading2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7.1 收入端与成本端分别验证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V0 没有付费系统，已验证的是当时运行条件下的成本端。单 Agent 月推理成本约 US$2，不能直接换算为单用户或单 DAU 成本：V1 的活跃 Agent 数、运行时长、交互强度和免费／付费配额都会改变成本结构。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445"/>
        <w:gridCol w:w="4087"/>
        <w:gridCol w:w="3106"/>
      </w:tblGrid>
      <w:tr>
        <w:trPr>
          <w:cantSplit/>
          <w:tblHeader w:val="true"/>
        </w:trPr>
        <w:tc>
          <w:tcPr>
            <w:tcW w:type="dxa" w:w="2445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指标</w:t>
            </w:r>
          </w:p>
        </w:tc>
        <w:tc>
          <w:tcPr>
            <w:tcW w:type="dxa" w:w="4087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统一口径</w:t>
            </w:r>
          </w:p>
        </w:tc>
        <w:tc>
          <w:tcPr>
            <w:tcW w:type="dxa" w:w="3106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用途</w:t>
            </w:r>
          </w:p>
        </w:tc>
      </w:tr>
      <w:tr>
        <w:trPr>
          <w:cantSplit/>
        </w:trPr>
        <w:tc>
          <w:tcPr>
            <w:tcW w:type="dxa" w:w="2445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月 ARPU</w:t>
            </w:r>
          </w:p>
        </w:tc>
        <w:tc>
          <w:tcPr>
            <w:tcW w:type="dxa" w:w="4087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当月收入 ÷ 当月活跃用户</w:t>
            </w:r>
          </w:p>
        </w:tc>
        <w:tc>
          <w:tcPr>
            <w:tcW w:type="dxa" w:w="3106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衡量活跃用户整体变现</w:t>
            </w:r>
          </w:p>
        </w:tc>
      </w:tr>
      <w:tr>
        <w:trPr>
          <w:cantSplit/>
        </w:trPr>
        <w:tc>
          <w:tcPr>
            <w:tcW w:type="dxa" w:w="2445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月 ARPPU</w:t>
            </w:r>
          </w:p>
        </w:tc>
        <w:tc>
          <w:tcPr>
            <w:tcW w:type="dxa" w:w="4087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当月收入 ÷ 当月付费用户</w:t>
            </w:r>
          </w:p>
        </w:tc>
        <w:tc>
          <w:tcPr>
            <w:tcW w:type="dxa" w:w="3106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衡量付费深度；不能以订阅标价替代</w:t>
            </w:r>
          </w:p>
        </w:tc>
      </w:tr>
      <w:tr>
        <w:trPr>
          <w:cantSplit/>
        </w:trPr>
        <w:tc>
          <w:tcPr>
            <w:tcW w:type="dxa" w:w="2445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付费率</w:t>
            </w:r>
          </w:p>
        </w:tc>
        <w:tc>
          <w:tcPr>
            <w:tcW w:type="dxa" w:w="4087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当月付费用户 ÷ 当月活跃用户</w:t>
            </w:r>
          </w:p>
        </w:tc>
        <w:tc>
          <w:tcPr>
            <w:tcW w:type="dxa" w:w="3106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与 ARPPU 共同解释 ARPU</w:t>
            </w:r>
          </w:p>
        </w:tc>
      </w:tr>
      <w:tr>
        <w:trPr>
          <w:cantSplit/>
        </w:trPr>
        <w:tc>
          <w:tcPr>
            <w:tcW w:type="dxa" w:w="2445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单位 Agent 成本</w:t>
            </w:r>
          </w:p>
        </w:tc>
        <w:tc>
          <w:tcPr>
            <w:tcW w:type="dxa" w:w="4087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推理及相关运行费用 ÷ 对应活跃 Agent 运行量</w:t>
            </w:r>
          </w:p>
        </w:tc>
        <w:tc>
          <w:tcPr>
            <w:tcW w:type="dxa" w:w="3106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比较模型、交互与运行策略</w:t>
            </w:r>
          </w:p>
        </w:tc>
      </w:tr>
      <w:tr>
        <w:trPr>
          <w:cantSplit/>
        </w:trPr>
        <w:tc>
          <w:tcPr>
            <w:tcW w:type="dxa" w:w="2445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用户贡献与回收</w:t>
            </w:r>
          </w:p>
        </w:tc>
        <w:tc>
          <w:tcPr>
            <w:tcW w:type="dxa" w:w="4087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收入扣除渠道、退款、推理、服务器等成本后，与获客成本比较</w:t>
            </w:r>
          </w:p>
        </w:tc>
        <w:tc>
          <w:tcPr>
            <w:tcW w:type="dxa" w:w="3106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决定市场和渠道是否可以放量</w:t>
            </w:r>
          </w:p>
        </w:tc>
      </w:tr>
    </w:tbl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Deck 中 US$10–15 的月 ARPU 为商业模型参考区间，不是 Aivilization 的实测收入。收入、付费率、续订和贡献利润将以 Soft Launch 的真实付费数据建立。</w:t>
      </w:r>
    </w:p>
    <w:p>
      <w:pPr>
        <w:pStyle w:val="Heading2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7.2 推理储备与退出条件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总储备规划中 US$2M 用于 Token 成本补贴，以支持早期体验和工程优化。支出节奏由活跃 Agent、交互强度和单位成本决定，结合路由、缓存、蒸馏、运行频率与体验分层控制预算。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补贴是否可以退出，取决于实际收入覆盖成本的能力。我们不预设补贴必在固定月份归零，也不依靠未来模型必然降价来证明商业化成立。</w:t>
      </w:r>
    </w:p>
    <w:p>
      <w:pPr>
        <w:pStyle w:val="Heading1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8. 发行与运营计划</w:t>
      </w:r>
    </w:p>
    <w:p>
      <w:r>
        <w:rPr>
          <w:rFonts w:ascii="Noto Sans CJK SC" w:hAnsi="Noto Sans CJK SC" w:eastAsia="Noto Sans CJK SC" w:cs="Noto Sans CJK SC"/>
          <w:b/>
          <w:i w:val="0"/>
          <w:color w:val="000000"/>
        </w:rPr>
        <w:t>用真实玩法吸引种子用户，通过分阶段测试确定核心客群、留存与付费循环，再按回收表现扩大投放。</w:t>
      </w: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当前发行规划与 2026 年 10 月 Deck 对齐：2026 年 12 月 CBT1、2027 年 2 月 CBT2、3–4 月 Soft Launch、5 月海外 Global Launch、6 月国内公测。以下日期与预算为规划，具体规模、渠道和过测标准随版本准备及实测数据定盘；国内计费和公测以版号等上线条件满足为前提。</w:t>
      </w:r>
    </w:p>
    <w:p>
      <w:pPr>
        <w:pStyle w:val="Heading2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8.1 分阶段发布与验证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641"/>
        <w:gridCol w:w="3519"/>
        <w:gridCol w:w="4478"/>
      </w:tblGrid>
      <w:tr>
        <w:trPr>
          <w:cantSplit/>
          <w:tblHeader w:val="true"/>
        </w:trPr>
        <w:tc>
          <w:tcPr>
            <w:tcW w:type="dxa" w:w="1641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规划时点</w:t>
            </w:r>
          </w:p>
        </w:tc>
        <w:tc>
          <w:tcPr>
            <w:tcW w:type="dxa" w:w="3519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阶段与主要工作</w:t>
            </w:r>
          </w:p>
        </w:tc>
        <w:tc>
          <w:tcPr>
            <w:tcW w:type="dxa" w:w="447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验证重点与下一步</w:t>
            </w:r>
          </w:p>
        </w:tc>
      </w:tr>
      <w:tr>
        <w:trPr>
          <w:cantSplit/>
        </w:trPr>
        <w:tc>
          <w:tcPr>
            <w:tcW w:type="dxa" w:w="1641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CBT1 前</w:t>
            </w:r>
          </w:p>
        </w:tc>
        <w:tc>
          <w:tcPr>
            <w:tcW w:type="dxa" w:w="3519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完成首曝与招募物料、官网和渠道承接页、埋点及种子社区准备；围绕真实玩法展示产品</w:t>
            </w:r>
          </w:p>
        </w:tc>
        <w:tc>
          <w:tcPr>
            <w:tcW w:type="dxa" w:w="447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验证玩家是否理解产品、哪些内容能带来有效报名；按画像与来源筛选测试用户</w:t>
            </w:r>
          </w:p>
        </w:tc>
      </w:tr>
      <w:tr>
        <w:trPr>
          <w:cantSplit/>
        </w:trPr>
        <w:tc>
          <w:tcPr>
            <w:tcW w:type="dxa" w:w="1641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2026.12</w:t>
            </w:r>
          </w:p>
        </w:tc>
        <w:tc>
          <w:tcPr>
            <w:tcW w:type="dxa" w:w="3519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CBT1 · 海内外双线；验证 V1 核心玩法与留存，推进国内版号提交</w:t>
            </w:r>
          </w:p>
        </w:tc>
        <w:tc>
          <w:tcPr>
            <w:tcW w:type="dxa" w:w="447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看新手体验、核心行为重复发生、D1/D7 留存、情感与社交反馈，以及单 Agent 和单活跃用户成本；问题修复并复测后再扩量</w:t>
            </w:r>
          </w:p>
        </w:tc>
      </w:tr>
      <w:tr>
        <w:trPr>
          <w:cantSplit/>
        </w:trPr>
        <w:tc>
          <w:tcPr>
            <w:tcW w:type="dxa" w:w="1641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2027.02</w:t>
            </w:r>
          </w:p>
        </w:tc>
        <w:tc>
          <w:tcPr>
            <w:tcW w:type="dxa" w:w="3519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CBT2 · 在首轮反馈上迭代，扩大客群与渠道样本</w:t>
            </w:r>
          </w:p>
        </w:tc>
        <w:tc>
          <w:tcPr>
            <w:tcW w:type="dxa" w:w="447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分客群和渠道比较留存、参与深度、分享与付费意愿，收敛优先服务的人群；观察满足统计窗口的 D30 留存</w:t>
            </w:r>
          </w:p>
        </w:tc>
      </w:tr>
      <w:tr>
        <w:trPr>
          <w:cantSplit/>
        </w:trPr>
        <w:tc>
          <w:tcPr>
            <w:tcW w:type="dxa" w:w="1641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2027.03–04</w:t>
            </w:r>
          </w:p>
        </w:tc>
        <w:tc>
          <w:tcPr>
            <w:tcW w:type="dxa" w:w="3519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海外 Soft Launch P1/P2 · 分区域、分批验证付费模型与运营承载</w:t>
            </w:r>
          </w:p>
        </w:tc>
        <w:tc>
          <w:tcPr>
            <w:tcW w:type="dxa" w:w="447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跟踪付费转化、复购、ARPU/ARPPU、LTV、获客成本、ROAS、推理及服务成本；按队列回收与体验表现决定后续投放</w:t>
            </w:r>
          </w:p>
        </w:tc>
      </w:tr>
      <w:tr>
        <w:trPr>
          <w:cantSplit/>
        </w:trPr>
        <w:tc>
          <w:tcPr>
            <w:tcW w:type="dxa" w:w="1641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2027.05</w:t>
            </w:r>
          </w:p>
        </w:tc>
        <w:tc>
          <w:tcPr>
            <w:tcW w:type="dxa" w:w="3519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海外 Global Launch · 版本、渠道、本地化与社区协同上线</w:t>
            </w:r>
          </w:p>
        </w:tc>
        <w:tc>
          <w:tcPr>
            <w:tcW w:type="dxa" w:w="447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逐市场检查留存、口碑、服务稳定性与回收周期；达到阶段要求的市场逐步放量</w:t>
            </w:r>
          </w:p>
        </w:tc>
      </w:tr>
      <w:tr>
        <w:trPr>
          <w:cantSplit/>
        </w:trPr>
        <w:tc>
          <w:tcPr>
            <w:tcW w:type="dxa" w:w="1641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2027.06</w:t>
            </w:r>
          </w:p>
        </w:tc>
        <w:tc>
          <w:tcPr>
            <w:tcW w:type="dxa" w:w="3519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国内公测 · 在版号与版本条件满足后发布</w:t>
            </w:r>
          </w:p>
        </w:tc>
        <w:tc>
          <w:tcPr>
            <w:tcW w:type="dxa" w:w="447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结合国内渠道和付费习惯验证转化与长线运营；海外先行数据作为参考，国内数据单独评估</w:t>
            </w:r>
          </w:p>
        </w:tc>
      </w:tr>
    </w:tbl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主线测试之间可穿插小规模专题测试，集中验证新手引导、家园经营、小人目标、关系互动等具体问题。每轮完成后先复盘、确定需修复的问题和下一轮验证范围，再决定是否扩大样本；不以日历替代过测判断。</w:t>
      </w:r>
    </w:p>
    <w:p>
      <w:pPr>
        <w:pStyle w:val="Heading2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8.2 目标用户：从明确种子出发，用测试收敛画像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与 V1 产品定义一致，优先触达三类种子：</w:t>
      </w:r>
      <w:r>
        <w:rPr>
          <w:rFonts w:ascii="Noto Sans CJK SC" w:hAnsi="Noto Sans CJK SC" w:eastAsia="Noto Sans CJK SC" w:cs="Noto Sans CJK SC"/>
          <w:b/>
          <w:i w:val="0"/>
          <w:color w:val="000000"/>
        </w:rPr>
        <w:t>治愈系、养成与模拟经营用户；办公室碎片时间用户；AI 尝鲜者。</w:t>
      </w: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进一步观察休闲挂机、社交及 IP/世界观兴趣人群。年龄、性别、地域和渠道是分析维度，具体核心画像由测试中持续回来的用户及其行为确定。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各人群使用同一套漏斗评估：看到内容 → 理解并报名 → 激活 → 多日参与 → 愿意分享 → 形成付费与长期使用。结合访谈判断用户为什么留下、何时流失，并将结果反馈到产品优先级和下一轮招募。多端接入服务于碎片化使用场景，具体首发端组合按产品体验、版本与渠道准备确定。</w:t>
      </w:r>
    </w:p>
    <w:p>
      <w:pPr>
        <w:pStyle w:val="Heading2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8.3 内容与社区：把世界中发生的事变成传播素材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传播钩子围绕「我的心愿，替我自由」展开：玩家给出方向，小人在共同世界中生活、做选择并形成新的关系。内容应让用户看懂小人如何自主生活、玩家能做什么、下一次回来会看到什么，并导向可承接的报名、预约或试玩入口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891"/>
        <w:gridCol w:w="4287"/>
        <w:gridCol w:w="3460"/>
      </w:tblGrid>
      <w:tr>
        <w:trPr>
          <w:cantSplit/>
          <w:tblHeader w:val="true"/>
        </w:trPr>
        <w:tc>
          <w:tcPr>
            <w:tcW w:type="dxa" w:w="1891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内容类型</w:t>
            </w:r>
          </w:p>
        </w:tc>
        <w:tc>
          <w:tcPr>
            <w:tcW w:type="dxa" w:w="4287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具体内容</w:t>
            </w:r>
          </w:p>
        </w:tc>
        <w:tc>
          <w:tcPr>
            <w:tcW w:type="dxa" w:w="3460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作用</w:t>
            </w:r>
          </w:p>
        </w:tc>
      </w:tr>
      <w:tr>
        <w:trPr>
          <w:cantSplit/>
        </w:trPr>
        <w:tc>
          <w:tcPr>
            <w:tcW w:type="dxa" w:w="1891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角色与世界故事</w:t>
            </w:r>
          </w:p>
        </w:tc>
        <w:tc>
          <w:tcPr>
            <w:tcW w:type="dxa" w:w="4287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小人的选择、目标进展、关系变化与城市事件；以真实运行片段为核心</w:t>
            </w:r>
          </w:p>
        </w:tc>
        <w:tc>
          <w:tcPr>
            <w:tcW w:type="dxa" w:w="3460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建立产品认知，吸引情感、养成与社交兴趣用户</w:t>
            </w:r>
          </w:p>
        </w:tc>
      </w:tr>
      <w:tr>
        <w:trPr>
          <w:cantSplit/>
        </w:trPr>
        <w:tc>
          <w:tcPr>
            <w:tcW w:type="dxa" w:w="1891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经营与成长</w:t>
            </w:r>
          </w:p>
        </w:tc>
        <w:tc>
          <w:tcPr>
            <w:tcW w:type="dxa" w:w="4287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家园建设、资源投入、小人能力变化，以及玩家建议带来的后续结果</w:t>
            </w:r>
          </w:p>
        </w:tc>
        <w:tc>
          <w:tcPr>
            <w:tcW w:type="dxa" w:w="3460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解释核心循环，让用户判断是否适合自己</w:t>
            </w:r>
          </w:p>
        </w:tc>
      </w:tr>
      <w:tr>
        <w:trPr>
          <w:cantSplit/>
        </w:trPr>
        <w:tc>
          <w:tcPr>
            <w:tcW w:type="dxa" w:w="1891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开发与技术</w:t>
            </w:r>
          </w:p>
        </w:tc>
        <w:tc>
          <w:tcPr>
            <w:tcW w:type="dxa" w:w="4287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版本日志、机制解释、测试复盘、已验证能力的演示</w:t>
            </w:r>
          </w:p>
        </w:tc>
        <w:tc>
          <w:tcPr>
            <w:tcW w:type="dxa" w:w="3460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建立信任，向核心用户和媒体提供可核对的信息</w:t>
            </w:r>
          </w:p>
        </w:tc>
      </w:tr>
      <w:tr>
        <w:trPr>
          <w:cantSplit/>
        </w:trPr>
        <w:tc>
          <w:tcPr>
            <w:tcW w:type="dxa" w:w="1891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玩家内容与社区</w:t>
            </w:r>
          </w:p>
        </w:tc>
        <w:tc>
          <w:tcPr>
            <w:tcW w:type="dxa" w:w="4287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用户故事、截图、二创与主题活动；征得授权后精选分发</w:t>
            </w:r>
          </w:p>
        </w:tc>
        <w:tc>
          <w:tcPr>
            <w:tcW w:type="dxa" w:w="3460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扩大口碑与内容供给，积累可复用素材</w:t>
            </w:r>
          </w:p>
        </w:tc>
      </w:tr>
      <w:tr>
        <w:trPr>
          <w:cantSplit/>
        </w:trPr>
        <w:tc>
          <w:tcPr>
            <w:tcW w:type="dxa" w:w="1891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发行节点</w:t>
            </w:r>
          </w:p>
        </w:tc>
        <w:tc>
          <w:tcPr>
            <w:tcW w:type="dxa" w:w="4287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测试招募、开测指引、版本更新、正式上线与召回活动</w:t>
            </w:r>
          </w:p>
        </w:tc>
        <w:tc>
          <w:tcPr>
            <w:tcW w:type="dxa" w:w="3460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把关注转化为有效参与，并承接后续反馈</w:t>
            </w:r>
          </w:p>
        </w:tc>
      </w:tr>
    </w:tbl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运营闭环是官号示范 → 主题活动 → 玩家创作 → 精选分发 → 反馈与迭代。社区先服务好种子玩家，再逐步放大；邀请、分享与活动激励以真实参与和用户体验为依据。玩家故事与二创是内容供给的一部分，开放式地图、物品或玩法创作工具按产品路线逐步验证。</w:t>
      </w:r>
    </w:p>
    <w:p>
      <w:pPr>
        <w:pStyle w:val="Heading2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8.4 市场与渠道分工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124"/>
        <w:gridCol w:w="3987"/>
        <w:gridCol w:w="4527"/>
      </w:tblGrid>
      <w:tr>
        <w:trPr>
          <w:cantSplit/>
          <w:tblHeader w:val="true"/>
        </w:trPr>
        <w:tc>
          <w:tcPr>
            <w:tcW w:type="dxa" w:w="1124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市场</w:t>
            </w:r>
          </w:p>
        </w:tc>
        <w:tc>
          <w:tcPr>
            <w:tcW w:type="dxa" w:w="3987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承接与分发</w:t>
            </w:r>
          </w:p>
        </w:tc>
        <w:tc>
          <w:tcPr>
            <w:tcW w:type="dxa" w:w="4527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执行重点</w:t>
            </w:r>
          </w:p>
        </w:tc>
      </w:tr>
      <w:tr>
        <w:trPr>
          <w:cantSplit/>
        </w:trPr>
        <w:tc>
          <w:tcPr>
            <w:tcW w:type="dxa" w:w="1124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国内</w:t>
            </w:r>
          </w:p>
        </w:tc>
        <w:tc>
          <w:tcPr>
            <w:tcW w:type="dxa" w:w="3987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官网、TapTap 等预约与测试入口；B 站、小红书、抖音及微信生态</w:t>
            </w:r>
          </w:p>
        </w:tc>
        <w:tc>
          <w:tcPr>
            <w:tcW w:type="dxa" w:w="4527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按人群分别测试玩法解释、生活化故事与短视频；社群承接招募、反馈和召回，渠道投入由有效激活与留存决定</w:t>
            </w:r>
          </w:p>
        </w:tc>
      </w:tr>
      <w:tr>
        <w:trPr>
          <w:cantSplit/>
        </w:trPr>
        <w:tc>
          <w:tcPr>
            <w:tcW w:type="dxa" w:w="1124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欧美</w:t>
            </w:r>
          </w:p>
        </w:tc>
        <w:tc>
          <w:tcPr>
            <w:tcW w:type="dxa" w:w="3987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官网与 Steam；Discord、Reddit、YouTube、X、TikTok 等内容与社区渠道</w:t>
            </w:r>
          </w:p>
        </w:tc>
        <w:tc>
          <w:tcPr>
            <w:tcW w:type="dxa" w:w="4527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官网降低接触门槛，Steam 承接 PC 用户；从开发日志、真实玩法与创作者内容验证渠道匹配，英文体验和社区响应随版本同步准备</w:t>
            </w:r>
          </w:p>
        </w:tc>
      </w:tr>
      <w:tr>
        <w:trPr>
          <w:cantSplit/>
        </w:trPr>
        <w:tc>
          <w:tcPr>
            <w:tcW w:type="dxa" w:w="1124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日本与韩国</w:t>
            </w:r>
          </w:p>
        </w:tc>
        <w:tc>
          <w:tcPr>
            <w:tcW w:type="dxa" w:w="3987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按端形态配置商店与官网；日本以官方 X 等本地阵地、韩国以适用的商店与社区承接</w:t>
            </w:r>
          </w:p>
        </w:tc>
        <w:tc>
          <w:tcPr>
            <w:tcW w:type="dxa" w:w="4527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先验证语言、文化与角色表达，再决定本地内容、社区及效果投放节奏；本地化包含生成内容质量与实际体验检查</w:t>
            </w:r>
          </w:p>
        </w:tc>
      </w:tr>
    </w:tbl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达人合作从品类和受众匹配的小规模体验开始，比较有效报名、激活、留存及素材复用价值，再决定扩大合作。国内与海外渠道分别看数据；Steam 心愿单、平台预约、官网注册和实际激活分别报告，并尽可能去重，不把不同口径简单相加当成独立用户数。</w:t>
      </w:r>
    </w:p>
    <w:p>
      <w:pPr>
        <w:pStyle w:val="Heading2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8.5 启动预算：US$1.5M，按阶段释放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 xml:space="preserve">发行与商业化启动资金规划为 </w:t>
      </w:r>
      <w:r>
        <w:rPr>
          <w:rFonts w:ascii="Noto Sans CJK SC" w:hAnsi="Noto Sans CJK SC" w:eastAsia="Noto Sans CJK SC" w:cs="Noto Sans CJK SC"/>
          <w:b/>
          <w:i w:val="0"/>
          <w:color w:val="000000"/>
        </w:rPr>
        <w:t>US$1.5M</w:t>
      </w: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，与本轮资金用途中的发行预算一致。以下为阶段性资源安排，尚非已经发生的支出；各市场和渠道的明细随测试结果、实际发布窗口及回收表现调整。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899"/>
        <w:gridCol w:w="1899"/>
        <w:gridCol w:w="5841"/>
      </w:tblGrid>
      <w:tr>
        <w:trPr>
          <w:cantSplit/>
          <w:tblHeader w:val="true"/>
        </w:trPr>
        <w:tc>
          <w:tcPr>
            <w:tcW w:type="dxa" w:w="1899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阶段</w:t>
            </w:r>
          </w:p>
        </w:tc>
        <w:tc>
          <w:tcPr>
            <w:tcW w:type="dxa" w:w="1899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规划预算</w:t>
            </w:r>
          </w:p>
        </w:tc>
        <w:tc>
          <w:tcPr>
            <w:tcW w:type="dxa" w:w="5841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主要用途</w:t>
            </w:r>
          </w:p>
        </w:tc>
      </w:tr>
      <w:tr>
        <w:trPr>
          <w:cantSplit/>
        </w:trPr>
        <w:tc>
          <w:tcPr>
            <w:tcW w:type="dxa" w:w="1899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上线前</w:t>
            </w:r>
          </w:p>
        </w:tc>
        <w:tc>
          <w:tcPr>
            <w:tcW w:type="dxa" w:w="1899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US$0.3M</w:t>
            </w:r>
          </w:p>
        </w:tc>
        <w:tc>
          <w:tcPr>
            <w:tcW w:type="dxa" w:w="5841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内容与首曝物料、招募和社区、预约承接、商店页与本地化、小额渠道及素材验证</w:t>
            </w:r>
          </w:p>
        </w:tc>
      </w:tr>
      <w:tr>
        <w:trPr>
          <w:cantSplit/>
        </w:trPr>
        <w:tc>
          <w:tcPr>
            <w:tcW w:type="dxa" w:w="1899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上线窗口</w:t>
            </w:r>
          </w:p>
        </w:tc>
        <w:tc>
          <w:tcPr>
            <w:tcW w:type="dxa" w:w="1899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US$0.6M</w:t>
            </w:r>
          </w:p>
        </w:tc>
        <w:tc>
          <w:tcPr>
            <w:tcW w:type="dxa" w:w="5841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海外与国内发布窗口的内容、创作者合作、经验证的效果投放、运营活动及客服与应急准备；两地发布纳入同一额度统筹</w:t>
            </w:r>
          </w:p>
        </w:tc>
      </w:tr>
      <w:tr>
        <w:trPr>
          <w:cantSplit/>
        </w:trPr>
        <w:tc>
          <w:tcPr>
            <w:tcW w:type="dxa" w:w="1899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上线后初期运营</w:t>
            </w:r>
          </w:p>
        </w:tc>
        <w:tc>
          <w:tcPr>
            <w:tcW w:type="dxa" w:w="1899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US$0.6M</w:t>
            </w:r>
          </w:p>
        </w:tc>
        <w:tc>
          <w:tcPr>
            <w:tcW w:type="dxa" w:w="5841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约三个月的版本与社区运营、UGC 活动、本地化迭代、素材更新和达标渠道复投；与发布期的重叠投入按用途归属核算</w:t>
            </w:r>
          </w:p>
        </w:tc>
      </w:tr>
      <w:tr>
        <w:trPr>
          <w:cantSplit/>
        </w:trPr>
        <w:tc>
          <w:tcPr>
            <w:tcW w:type="dxa" w:w="1899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合计</w:t>
            </w:r>
          </w:p>
        </w:tc>
        <w:tc>
          <w:tcPr>
            <w:tcW w:type="dxa" w:w="1899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US$1.5M</w:t>
            </w:r>
          </w:p>
        </w:tc>
        <w:tc>
          <w:tcPr>
            <w:tcW w:type="dxa" w:w="5841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覆盖从上线前验证到初期商业循环的启动投入</w:t>
            </w:r>
          </w:p>
        </w:tc>
      </w:tr>
    </w:tbl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后续持续营销投入与收入回收、现金安排和经营目标联动，按实际经营表现另行确定。上线后重点从集中发布转向分层运营：新用户顺利上手、活跃用户获得持续目标、沉默用户通过版本和关系进展召回，逐步建立稳定的内容与运营节奏。</w:t>
      </w:r>
    </w:p>
    <w:p>
      <w:pPr>
        <w:pStyle w:val="Heading2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8.6 投放门控与运营复盘</w:t>
      </w:r>
    </w:p>
    <w:p>
      <w:pPr>
        <w:ind w:left="255" w:hanging="198"/>
      </w:pP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 xml:space="preserve">• </w:t>
      </w:r>
      <w:r>
        <w:rPr>
          <w:rFonts w:ascii="Noto Sans CJK SC" w:hAnsi="Noto Sans CJK SC" w:eastAsia="Noto Sans CJK SC" w:cs="Noto Sans CJK SC"/>
          <w:b/>
          <w:i w:val="0"/>
          <w:color w:val="000000"/>
        </w:rPr>
        <w:t>先验证内容与人群：</w:t>
      </w: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小额试投比较有效报名、激活、留存与付费表现，优先保留能带来持续参与者的素材和渠道。</w:t>
      </w:r>
    </w:p>
    <w:p>
      <w:pPr>
        <w:ind w:left="255" w:hanging="198"/>
      </w:pP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 xml:space="preserve">• </w:t>
      </w:r>
      <w:r>
        <w:rPr>
          <w:rFonts w:ascii="Noto Sans CJK SC" w:hAnsi="Noto Sans CJK SC" w:eastAsia="Noto Sans CJK SC" w:cs="Noto Sans CJK SC"/>
          <w:b/>
          <w:i w:val="0"/>
          <w:color w:val="000000"/>
        </w:rPr>
        <w:t>体验通过后再扩量：</w:t>
      </w: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留存、服务稳定性、推理成本与付费回收共同决定放量；阈值在各阶段基线与统计窗口明确后设定。</w:t>
      </w:r>
    </w:p>
    <w:p>
      <w:pPr>
        <w:ind w:left="255" w:hanging="198"/>
      </w:pP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 xml:space="preserve">• </w:t>
      </w:r>
      <w:r>
        <w:rPr>
          <w:rFonts w:ascii="Noto Sans CJK SC" w:hAnsi="Noto Sans CJK SC" w:eastAsia="Noto Sans CJK SC" w:cs="Noto Sans CJK SC"/>
          <w:b/>
          <w:i w:val="0"/>
          <w:color w:val="000000"/>
        </w:rPr>
        <w:t>按队列看回收：</w:t>
      </w: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区分市场、渠道、版本与进入时间，追踪 LTV、ROAS 和回收周期；数据不足时继续验证，不用短期新增量代替商业判断。</w:t>
      </w:r>
    </w:p>
    <w:p>
      <w:pPr>
        <w:ind w:left="255" w:hanging="198"/>
      </w:pP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 xml:space="preserve">• </w:t>
      </w:r>
      <w:r>
        <w:rPr>
          <w:rFonts w:ascii="Noto Sans CJK SC" w:hAnsi="Noto Sans CJK SC" w:eastAsia="Noto Sans CJK SC" w:cs="Noto Sans CJK SC"/>
          <w:b/>
          <w:i w:val="0"/>
          <w:color w:val="000000"/>
        </w:rPr>
        <w:t>发现问题及时收敛：</w:t>
      </w: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留存或回收下降时，先定位产品、素材、人群或渠道原因，缩减低效投入，把修复结果放入下一轮验证。</w:t>
      </w:r>
    </w:p>
    <w:p>
      <w:pPr>
        <w:ind w:left="255" w:hanging="198"/>
      </w:pP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 xml:space="preserve">• </w:t>
      </w:r>
      <w:r>
        <w:rPr>
          <w:rFonts w:ascii="Noto Sans CJK SC" w:hAnsi="Noto Sans CJK SC" w:eastAsia="Noto Sans CJK SC" w:cs="Noto Sans CJK SC"/>
          <w:b/>
          <w:i w:val="0"/>
          <w:color w:val="000000"/>
        </w:rPr>
        <w:t>自然传播单独衡量：</w:t>
      </w: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跟踪玩家内容产出、分享带来的有效注册、自然激活占比和社区反馈，用实际结果决定内容加热及活动资源。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每轮测试与发布后，将用户反馈、运行数据、素材表现和失败原因写回产品及组织记忆，让下一轮版本、招募、内容与投放继承已验证的经验。</w:t>
      </w:r>
    </w:p>
    <w:p>
      <w:pPr>
        <w:pStyle w:val="Heading1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9. 里程碑与资金映射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用分阶段测试推进产品与商业化，每一阶段都有要回答的问题。资金按版本、体验和回收结果释放。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038"/>
        <w:gridCol w:w="3319"/>
        <w:gridCol w:w="4281"/>
      </w:tblGrid>
      <w:tr>
        <w:trPr>
          <w:cantSplit/>
          <w:tblHeader w:val="true"/>
        </w:trPr>
        <w:tc>
          <w:tcPr>
            <w:tcW w:type="dxa" w:w="203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计划时点</w:t>
            </w:r>
          </w:p>
        </w:tc>
        <w:tc>
          <w:tcPr>
            <w:tcW w:type="dxa" w:w="3319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里程碑</w:t>
            </w:r>
          </w:p>
        </w:tc>
        <w:tc>
          <w:tcPr>
            <w:tcW w:type="dxa" w:w="4281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主要验证与交付</w:t>
            </w:r>
          </w:p>
        </w:tc>
      </w:tr>
      <w:tr>
        <w:trPr>
          <w:cantSplit/>
        </w:trPr>
        <w:tc>
          <w:tcPr>
            <w:tcW w:type="dxa" w:w="203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2026.10</w:t>
            </w:r>
          </w:p>
        </w:tc>
        <w:tc>
          <w:tcPr>
            <w:tcW w:type="dxa" w:w="3319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Pre-A</w:t>
            </w:r>
          </w:p>
        </w:tc>
        <w:tc>
          <w:tcPr>
            <w:tcW w:type="dxa" w:w="4281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补充研发与商业化资金，按阶段推进 V1</w:t>
            </w:r>
          </w:p>
        </w:tc>
      </w:tr>
      <w:tr>
        <w:trPr>
          <w:cantSplit/>
        </w:trPr>
        <w:tc>
          <w:tcPr>
            <w:tcW w:type="dxa" w:w="203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2026.12</w:t>
            </w:r>
          </w:p>
        </w:tc>
        <w:tc>
          <w:tcPr>
            <w:tcW w:type="dxa" w:w="3319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CBT1 · 海内外双线</w:t>
            </w:r>
          </w:p>
        </w:tc>
        <w:tc>
          <w:tcPr>
            <w:tcW w:type="dxa" w:w="4281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V1 核心玩法、留存与运行成本；国内提交版号</w:t>
            </w:r>
          </w:p>
        </w:tc>
      </w:tr>
      <w:tr>
        <w:trPr>
          <w:cantSplit/>
        </w:trPr>
        <w:tc>
          <w:tcPr>
            <w:tcW w:type="dxa" w:w="203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2027.02</w:t>
            </w:r>
          </w:p>
        </w:tc>
        <w:tc>
          <w:tcPr>
            <w:tcW w:type="dxa" w:w="3319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CBT2</w:t>
            </w:r>
          </w:p>
        </w:tc>
        <w:tc>
          <w:tcPr>
            <w:tcW w:type="dxa" w:w="4281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基于首轮反馈迭代，扩大人群与渠道样本，验证更长周期留存</w:t>
            </w:r>
          </w:p>
        </w:tc>
      </w:tr>
      <w:tr>
        <w:trPr>
          <w:cantSplit/>
        </w:trPr>
        <w:tc>
          <w:tcPr>
            <w:tcW w:type="dxa" w:w="203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2027.03</w:t>
            </w:r>
          </w:p>
        </w:tc>
        <w:tc>
          <w:tcPr>
            <w:tcW w:type="dxa" w:w="3319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海外 Soft Launch P1</w:t>
            </w:r>
          </w:p>
        </w:tc>
        <w:tc>
          <w:tcPr>
            <w:tcW w:type="dxa" w:w="4281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开启付费模型与获客回收验证</w:t>
            </w:r>
          </w:p>
        </w:tc>
      </w:tr>
      <w:tr>
        <w:trPr>
          <w:cantSplit/>
        </w:trPr>
        <w:tc>
          <w:tcPr>
            <w:tcW w:type="dxa" w:w="203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2027.04</w:t>
            </w:r>
          </w:p>
        </w:tc>
        <w:tc>
          <w:tcPr>
            <w:tcW w:type="dxa" w:w="3319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海外 Soft Launch P2</w:t>
            </w:r>
          </w:p>
        </w:tc>
        <w:tc>
          <w:tcPr>
            <w:tcW w:type="dxa" w:w="4281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优化商业化、运行成本与发布准备</w:t>
            </w:r>
          </w:p>
        </w:tc>
      </w:tr>
      <w:tr>
        <w:trPr>
          <w:cantSplit/>
        </w:trPr>
        <w:tc>
          <w:tcPr>
            <w:tcW w:type="dxa" w:w="203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2027.05</w:t>
            </w:r>
          </w:p>
        </w:tc>
        <w:tc>
          <w:tcPr>
            <w:tcW w:type="dxa" w:w="3319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海外 Global Launch</w:t>
            </w:r>
          </w:p>
        </w:tc>
        <w:tc>
          <w:tcPr>
            <w:tcW w:type="dxa" w:w="4281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海外商业化上线，按市场表现扩大覆盖</w:t>
            </w:r>
          </w:p>
        </w:tc>
      </w:tr>
      <w:tr>
        <w:trPr>
          <w:cantSplit/>
        </w:trPr>
        <w:tc>
          <w:tcPr>
            <w:tcW w:type="dxa" w:w="203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2027.06</w:t>
            </w:r>
          </w:p>
        </w:tc>
        <w:tc>
          <w:tcPr>
            <w:tcW w:type="dxa" w:w="3319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国内公测</w:t>
            </w:r>
          </w:p>
        </w:tc>
        <w:tc>
          <w:tcPr>
            <w:tcW w:type="dxa" w:w="4281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在版号等上线条件满足后推进国内商业化</w:t>
            </w:r>
          </w:p>
        </w:tc>
      </w:tr>
    </w:tbl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以上为截至 2026 年 10 月 16 日的计划。各阶段依据版本准备、测试结果与适用上线条件推进，具体规模和验收阈值在相应阶段定盘。</w:t>
      </w:r>
    </w:p>
    <w:p>
      <w:pPr>
        <w:pStyle w:val="Heading2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9.1 近 US$9M 总储备规划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当前公司资金近 US$4M，本轮计划新增 US$5M，完成后总储备近 US$9M。下表按 US$9M 编制用途规划，实际现金随日常经营和交割时点变化。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11"/>
        <w:gridCol w:w="1718"/>
        <w:gridCol w:w="1578"/>
        <w:gridCol w:w="4031"/>
      </w:tblGrid>
      <w:tr>
        <w:trPr>
          <w:cantSplit/>
          <w:tblHeader w:val="true"/>
        </w:trPr>
        <w:tc>
          <w:tcPr>
            <w:tcW w:type="dxa" w:w="2311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用途</w:t>
            </w:r>
          </w:p>
        </w:tc>
        <w:tc>
          <w:tcPr>
            <w:tcW w:type="dxa" w:w="171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规划金额</w:t>
            </w:r>
          </w:p>
        </w:tc>
        <w:tc>
          <w:tcPr>
            <w:tcW w:type="dxa" w:w="157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占总用途</w:t>
            </w:r>
          </w:p>
        </w:tc>
        <w:tc>
          <w:tcPr>
            <w:tcW w:type="dxa" w:w="4031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对应工作</w:t>
            </w:r>
          </w:p>
        </w:tc>
      </w:tr>
      <w:tr>
        <w:trPr>
          <w:cantSplit/>
        </w:trPr>
        <w:tc>
          <w:tcPr>
            <w:tcW w:type="dxa" w:w="2311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产品研发</w:t>
            </w:r>
          </w:p>
        </w:tc>
        <w:tc>
          <w:tcPr>
            <w:tcW w:type="dxa" w:w="171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US$4.5M</w:t>
            </w:r>
          </w:p>
        </w:tc>
        <w:tc>
          <w:tcPr>
            <w:tcW w:type="dxa" w:w="157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50.0%</w:t>
            </w:r>
          </w:p>
        </w:tc>
        <w:tc>
          <w:tcPr>
            <w:tcW w:type="dxa" w:w="4031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核心玩法、Agent 与世界系统、内容、联调、测试及持续迭代</w:t>
            </w:r>
          </w:p>
        </w:tc>
      </w:tr>
      <w:tr>
        <w:trPr>
          <w:cantSplit/>
        </w:trPr>
        <w:tc>
          <w:tcPr>
            <w:tcW w:type="dxa" w:w="2311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发行与商业化启动</w:t>
            </w:r>
          </w:p>
        </w:tc>
        <w:tc>
          <w:tcPr>
            <w:tcW w:type="dxa" w:w="171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US$1.5M</w:t>
            </w:r>
          </w:p>
        </w:tc>
        <w:tc>
          <w:tcPr>
            <w:tcW w:type="dxa" w:w="157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16.7%</w:t>
            </w:r>
          </w:p>
        </w:tc>
        <w:tc>
          <w:tcPr>
            <w:tcW w:type="dxa" w:w="4031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上线前准备、发布窗口、初期运营与付费回收验证</w:t>
            </w:r>
          </w:p>
        </w:tc>
      </w:tr>
      <w:tr>
        <w:trPr>
          <w:cantSplit/>
        </w:trPr>
        <w:tc>
          <w:tcPr>
            <w:tcW w:type="dxa" w:w="2311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Token 成本补贴储备</w:t>
            </w:r>
          </w:p>
        </w:tc>
        <w:tc>
          <w:tcPr>
            <w:tcW w:type="dxa" w:w="171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US$2.0M</w:t>
            </w:r>
          </w:p>
        </w:tc>
        <w:tc>
          <w:tcPr>
            <w:tcW w:type="dxa" w:w="157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22.2%</w:t>
            </w:r>
          </w:p>
        </w:tc>
        <w:tc>
          <w:tcPr>
            <w:tcW w:type="dxa" w:w="4031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支持早期 Agent 体验与运行优化，按实际活跃和单位成本控制支出</w:t>
            </w:r>
          </w:p>
        </w:tc>
      </w:tr>
      <w:tr>
        <w:trPr>
          <w:cantSplit/>
        </w:trPr>
        <w:tc>
          <w:tcPr>
            <w:tcW w:type="dxa" w:w="2311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风险缓冲与储备</w:t>
            </w:r>
          </w:p>
        </w:tc>
        <w:tc>
          <w:tcPr>
            <w:tcW w:type="dxa" w:w="171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US$1.0M</w:t>
            </w:r>
          </w:p>
        </w:tc>
        <w:tc>
          <w:tcPr>
            <w:tcW w:type="dxa" w:w="157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11.1%</w:t>
            </w:r>
          </w:p>
        </w:tc>
        <w:tc>
          <w:tcPr>
            <w:tcW w:type="dxa" w:w="4031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应对版本、运营和交割节奏变化，保持调整空间</w:t>
            </w:r>
          </w:p>
        </w:tc>
      </w:tr>
      <w:tr>
        <w:trPr>
          <w:cantSplit/>
        </w:trPr>
        <w:tc>
          <w:tcPr>
            <w:tcW w:type="dxa" w:w="2311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合计</w:t>
            </w:r>
          </w:p>
        </w:tc>
        <w:tc>
          <w:tcPr>
            <w:tcW w:type="dxa" w:w="171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US$9.0M</w:t>
            </w:r>
          </w:p>
        </w:tc>
        <w:tc>
          <w:tcPr>
            <w:tcW w:type="dxa" w:w="157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100.0%</w:t>
            </w:r>
          </w:p>
        </w:tc>
        <w:tc>
          <w:tcPr>
            <w:tcW w:type="dxa" w:w="4031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以融资后总储备为分母，包含现有资金</w:t>
            </w:r>
          </w:p>
        </w:tc>
      </w:tr>
    </w:tbl>
    <w:p>
      <w:pPr>
        <w:pStyle w:val="Heading2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9.2 阶段结果如何改变投入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CBT 优先看核心行为、分人群留存与单位运行成本；Soft Launch 增加付费、续订、获客和队列回收；正式上线后再按市场和渠道决定扩量。表现不足时，先修复体验和成本问题、缩小投入范围，复测后推进。明确的阶段验收比固定扩编人数更适合当前研发与发行节奏。</w:t>
      </w:r>
    </w:p>
    <w:p>
      <w:pPr>
        <w:pStyle w:val="Heading1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10. 财务与现金情景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当前财务规划围绕近 US$4M 现有资金、本轮 US$5M 目标融资，以及近 US$9M 总储备用途展开。经营收入、下一轮融资和未获批准的政策资助分别评估。</w:t>
      </w:r>
    </w:p>
    <w:p>
      <w:hyperlink r:id="rId19">
        <w:r>
          <w:rPr>
            <w:rFonts w:ascii="Noto Sans CJK SC" w:hAnsi="Noto Sans CJK SC" w:eastAsia="Noto Sans CJK SC" w:cs="Noto Sans CJK SC"/>
            <w:b w:val="0"/>
            <w:i w:val="0"/>
            <w:color w:val="6B2B8E"/>
          </w:rPr>
          <w:t>下载 10 月财务与现金情景表 · Excel</w:t>
        </w:r>
      </w:hyperlink>
    </w:p>
    <w:p>
      <w:pPr>
        <w:pStyle w:val="Heading2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10.1 预算与现金流分别管理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用途预算回答“准备把资金用在哪里”；现金表回答“资金何时到位、何时支出”。近 US$9M 为本轮完成后的条件测算，当前可用资金仍以实际余额为准。发行与 Token 储备按阶段结果使用，风险缓冲不预先计作日常开销。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新版附件包含四个工作表：10 月资金计划、可编辑现金假设、24 个月现金情景，以及历史长期预测。现金情景区分融资按设定月份计入、延后计入与不计入三种情况，并提供支出上浮的敏感性测算。</w:t>
      </w:r>
    </w:p>
    <w:p>
      <w:pPr>
        <w:pStyle w:val="Heading2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10.2 情景测算边界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现金工具以当前资金近 US$4M 为测算锚点，融资、起始日前现金调整及支出时点均可编辑。24 个月期间和各项支出的均摊方式是测算假设，使用时需替换为实际余额、已承诺支出及月度预算。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基础情景不计未获批的 RAISe+、未确定的后续融资，也不预设尚未验证的经营回款。它用于检验资金时点与消耗变化的影响，不构成承诺的 runway 或管理层月度现金预测。</w:t>
      </w:r>
    </w:p>
    <w:p>
      <w:pPr>
        <w:pStyle w:val="Heading2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10.3 长期经营预测的更新方法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收入预测将围绕实际用户漏斗建立：分市场、渠道与进入时间追踪激活、留存、活跃用户、付费率、ARPPU 和续订，再按 Agent 数、交互强度、模型及服务开销测算贡献利润。2027 年 5 月海外上线、6 月国内公测的计划与后续实际运营月份共同决定年度收入爬坡。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原 2026–2033 长期预测的核心经营与融资数值含静态假设，不能仅移动上线日期就可靠重算。附件保留该表作为历史参考，并明确标注其未更新、不得作为当前收入、利润或年末现金预测。新的经营模型应在测试和付费数据形成后，连同成本与现金假设更新。</w:t>
      </w:r>
    </w:p>
    <w:p>
      <w:pPr>
        <w:pStyle w:val="Heading1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11. 融资与估值依据</w:t>
      </w:r>
    </w:p>
    <w:p>
      <w:pPr>
        <w:pStyle w:val="Heading2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11.1 融资历史与本轮方案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90"/>
        <w:gridCol w:w="1701"/>
        <w:gridCol w:w="1830"/>
        <w:gridCol w:w="3716"/>
      </w:tblGrid>
      <w:tr>
        <w:trPr>
          <w:cantSplit/>
          <w:tblHeader w:val="true"/>
        </w:trPr>
        <w:tc>
          <w:tcPr>
            <w:tcW w:type="dxa" w:w="2390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轮次</w:t>
            </w:r>
          </w:p>
        </w:tc>
        <w:tc>
          <w:tcPr>
            <w:tcW w:type="dxa" w:w="1701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融资金额</w:t>
            </w:r>
          </w:p>
        </w:tc>
        <w:tc>
          <w:tcPr>
            <w:tcW w:type="dxa" w:w="1830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投后估值</w:t>
            </w:r>
          </w:p>
        </w:tc>
        <w:tc>
          <w:tcPr>
            <w:tcW w:type="dxa" w:w="3716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历史背景／用途</w:t>
            </w:r>
          </w:p>
        </w:tc>
      </w:tr>
      <w:tr>
        <w:trPr>
          <w:cantSplit/>
        </w:trPr>
        <w:tc>
          <w:tcPr>
            <w:tcW w:type="dxa" w:w="2390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种子轮 · 2025.04</w:t>
            </w:r>
          </w:p>
        </w:tc>
        <w:tc>
          <w:tcPr>
            <w:tcW w:type="dxa" w:w="1701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US$0.4M</w:t>
            </w:r>
          </w:p>
        </w:tc>
        <w:tc>
          <w:tcPr>
            <w:tcW w:type="dxa" w:w="1830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US$8M</w:t>
            </w:r>
          </w:p>
        </w:tc>
        <w:tc>
          <w:tcPr>
            <w:tcW w:type="dxa" w:w="3716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朋友轮，支持早期多智能体技术与产品探索</w:t>
            </w:r>
          </w:p>
        </w:tc>
      </w:tr>
      <w:tr>
        <w:trPr>
          <w:cantSplit/>
        </w:trPr>
        <w:tc>
          <w:tcPr>
            <w:tcW w:type="dxa" w:w="2390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天使轮 · 2025.09</w:t>
            </w:r>
          </w:p>
        </w:tc>
        <w:tc>
          <w:tcPr>
            <w:tcW w:type="dxa" w:w="1701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US$6M</w:t>
            </w:r>
          </w:p>
        </w:tc>
        <w:tc>
          <w:tcPr>
            <w:tcW w:type="dxa" w:w="1830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US$30M</w:t>
            </w:r>
          </w:p>
        </w:tc>
        <w:tc>
          <w:tcPr>
            <w:tcW w:type="dxa" w:w="3716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腾讯战投，支持 V0 验证后向商业化产品推进</w:t>
            </w:r>
          </w:p>
        </w:tc>
      </w:tr>
      <w:tr>
        <w:trPr>
          <w:cantSplit/>
        </w:trPr>
        <w:tc>
          <w:tcPr>
            <w:tcW w:type="dxa" w:w="2390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本轮 Pre-A</w:t>
            </w:r>
          </w:p>
        </w:tc>
        <w:tc>
          <w:tcPr>
            <w:tcW w:type="dxa" w:w="1701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US$5M</w:t>
            </w:r>
          </w:p>
        </w:tc>
        <w:tc>
          <w:tcPr>
            <w:tcW w:type="dxa" w:w="1830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US$66.5M</w:t>
            </w:r>
          </w:p>
        </w:tc>
        <w:tc>
          <w:tcPr>
            <w:tcW w:type="dxa" w:w="3716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完成 V1 核心玩法、留存与商业化验证，推进海外及国内发布</w:t>
            </w:r>
          </w:p>
        </w:tc>
      </w:tr>
    </w:tbl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按上述金额推算，本轮投前估值为 US$61.5M，新增融资占投后约 7.52%；这是融资方案的简单算术口径，实际股权比例以最终交易结构和交割文件为准。</w:t>
      </w:r>
    </w:p>
    <w:p>
      <w:pPr>
        <w:pStyle w:val="Heading2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11.2 定价对应的基本面进展</w:t>
      </w:r>
    </w:p>
    <w:p>
      <w:pPr>
        <w:ind w:left="255" w:hanging="198"/>
      </w:pP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 xml:space="preserve">• </w:t>
      </w:r>
      <w:r>
        <w:rPr>
          <w:rFonts w:ascii="Noto Sans CJK SC" w:hAnsi="Noto Sans CJK SC" w:eastAsia="Noto Sans CJK SC" w:cs="Noto Sans CJK SC"/>
          <w:b/>
          <w:i w:val="0"/>
          <w:color w:val="000000"/>
        </w:rPr>
        <w:t>团队：</w:t>
      </w: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从早期研究与原型团队，发展为结合多智能体研究、游戏制作、产品与运营的全职团队，并建立 AI 原生分工与协作管线。</w:t>
      </w:r>
    </w:p>
    <w:p>
      <w:pPr>
        <w:ind w:left="255" w:hanging="198"/>
      </w:pP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 xml:space="preserve">• </w:t>
      </w:r>
      <w:r>
        <w:rPr>
          <w:rFonts w:ascii="Noto Sans CJK SC" w:hAnsi="Noto Sans CJK SC" w:eastAsia="Noto Sans CJK SC" w:cs="Noto Sans CJK SC"/>
          <w:b/>
          <w:i w:val="0"/>
          <w:color w:val="000000"/>
        </w:rPr>
        <w:t>产品：</w:t>
      </w: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从 V0 网页技术演示推进到 V1 商业化产品研发，已有明确的核心循环、世界与视觉基准、测试及发行节奏。</w:t>
      </w:r>
    </w:p>
    <w:p>
      <w:pPr>
        <w:ind w:left="255" w:hanging="198"/>
      </w:pP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 xml:space="preserve">• </w:t>
      </w:r>
      <w:r>
        <w:rPr>
          <w:rFonts w:ascii="Noto Sans CJK SC" w:hAnsi="Noto Sans CJK SC" w:eastAsia="Noto Sans CJK SC" w:cs="Noto Sans CJK SC"/>
          <w:b/>
          <w:i w:val="0"/>
          <w:color w:val="000000"/>
        </w:rPr>
        <w:t>技术：</w:t>
      </w: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从个体 Agent 行为扩展到持续世界中的记忆、规划、执行与反馈，并补充训练评测、实验与技术资产。</w:t>
      </w:r>
    </w:p>
    <w:p>
      <w:pPr>
        <w:ind w:left="255" w:hanging="198"/>
      </w:pP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 xml:space="preserve">• </w:t>
      </w:r>
      <w:r>
        <w:rPr>
          <w:rFonts w:ascii="Noto Sans CJK SC" w:hAnsi="Noto Sans CJK SC" w:eastAsia="Noto Sans CJK SC" w:cs="Noto Sans CJK SC"/>
          <w:b/>
          <w:i w:val="0"/>
          <w:color w:val="000000"/>
        </w:rPr>
        <w:t>复用：</w:t>
      </w: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运行内核、经验、规则、测试与资产管线能够跨版本继承，后续再验证跨产品及对外服务的价值。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下一阶段价值增长仍取决于 V1 的留存、付费、成本与交付结果。引擎和组织体系扩大了长期空间，同时需要持续的产品与商业证据。</w:t>
      </w:r>
    </w:p>
    <w:p>
      <w:pPr>
        <w:pStyle w:val="Heading2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11.3 可比案例怎样使用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778"/>
        <w:gridCol w:w="3159"/>
        <w:gridCol w:w="3701"/>
      </w:tblGrid>
      <w:tr>
        <w:trPr>
          <w:cantSplit/>
          <w:tblHeader w:val="true"/>
        </w:trPr>
        <w:tc>
          <w:tcPr>
            <w:tcW w:type="dxa" w:w="277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案例</w:t>
            </w:r>
          </w:p>
        </w:tc>
        <w:tc>
          <w:tcPr>
            <w:tcW w:type="dxa" w:w="3159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可参照的价值逻辑</w:t>
            </w:r>
          </w:p>
        </w:tc>
        <w:tc>
          <w:tcPr>
            <w:tcW w:type="dxa" w:w="3701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可比边界</w:t>
            </w:r>
          </w:p>
        </w:tc>
      </w:tr>
      <w:tr>
        <w:trPr>
          <w:cantSplit/>
        </w:trPr>
        <w:tc>
          <w:tcPr>
            <w:tcW w:type="dxa" w:w="277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EVE、Tolan 等 AI 角色产品</w:t>
            </w:r>
          </w:p>
        </w:tc>
        <w:tc>
          <w:tcPr>
            <w:tcW w:type="dxa" w:w="3159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长期角色关系、情感陪伴和持续服务的付费可能性</w:t>
            </w:r>
          </w:p>
        </w:tc>
        <w:tc>
          <w:tcPr>
            <w:tcW w:type="dxa" w:w="3701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客群、单人／多人、产品形态和收入结构不同，融资额不等于估值</w:t>
            </w:r>
          </w:p>
        </w:tc>
      </w:tr>
      <w:tr>
        <w:trPr>
          <w:cantSplit/>
        </w:trPr>
        <w:tc>
          <w:tcPr>
            <w:tcW w:type="dxa" w:w="277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General Intuition</w:t>
            </w:r>
          </w:p>
        </w:tc>
        <w:tc>
          <w:tcPr>
            <w:tcW w:type="dxa" w:w="3159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游戏与互动数据可以支持模型和技术服务的积累</w:t>
            </w:r>
          </w:p>
        </w:tc>
        <w:tc>
          <w:tcPr>
            <w:tcW w:type="dxa" w:w="3701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其为模型实验室，数据类型、研发资本与商业路径不同，不直接套用估值</w:t>
            </w:r>
          </w:p>
        </w:tc>
      </w:tr>
      <w:tr>
        <w:trPr>
          <w:cantSplit/>
        </w:trPr>
        <w:tc>
          <w:tcPr>
            <w:tcW w:type="dxa" w:w="277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Niantic Spatial</w:t>
            </w:r>
          </w:p>
        </w:tc>
        <w:tc>
          <w:tcPr>
            <w:tcW w:type="dxa" w:w="3159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互动产品产生的技术和数据能力可以延伸到新的应用</w:t>
            </w:r>
          </w:p>
        </w:tc>
        <w:tc>
          <w:tcPr>
            <w:tcW w:type="dxa" w:w="3701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空间数据与企业级服务不同于玩家角色记忆，不直接类推市场规模</w:t>
            </w:r>
          </w:p>
        </w:tc>
      </w:tr>
      <w:tr>
        <w:trPr>
          <w:cantSplit/>
        </w:trPr>
        <w:tc>
          <w:tcPr>
            <w:tcW w:type="dxa" w:w="277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Epic／Unreal Engine</w:t>
            </w:r>
          </w:p>
        </w:tc>
        <w:tc>
          <w:tcPr>
            <w:tcW w:type="dxa" w:w="3159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自研产品推动技术开发，产品与开发工具相互证明价值</w:t>
            </w:r>
          </w:p>
        </w:tc>
        <w:tc>
          <w:tcPr>
            <w:tcW w:type="dxa" w:w="3701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成熟引擎生态需要长期形成，Bauhinia 的外部服务仍待验证</w:t>
            </w:r>
          </w:p>
        </w:tc>
      </w:tr>
    </w:tbl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公开信息中，Tolan 投资方 Homebrew 披露其 US$20M Series A，并提及超过 10 万付费用户；General Intuition 官网披露过去一年累计融资超过 US$650M。这些信息用于观察资本对 AI 关系产品及互动技术的关注，不作为 Aivilization 的收入预测或估值倍数。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来源：</w:t>
      </w:r>
      <w:hyperlink r:id="rId20">
        <w:r>
          <w:rPr>
            <w:rFonts w:ascii="Noto Sans CJK SC" w:hAnsi="Noto Sans CJK SC" w:eastAsia="Noto Sans CJK SC" w:cs="Noto Sans CJK SC"/>
            <w:b w:val="0"/>
            <w:i w:val="0"/>
            <w:color w:val="6B2B8E"/>
          </w:rPr>
          <w:t>Homebrew · Portola / Tolan</w:t>
        </w:r>
      </w:hyperlink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；</w:t>
      </w:r>
      <w:hyperlink r:id="rId21">
        <w:r>
          <w:rPr>
            <w:rFonts w:ascii="Noto Sans CJK SC" w:hAnsi="Noto Sans CJK SC" w:eastAsia="Noto Sans CJK SC" w:cs="Noto Sans CJK SC"/>
            <w:b w:val="0"/>
            <w:i w:val="0"/>
            <w:color w:val="6B2B8E"/>
          </w:rPr>
          <w:t>General Intuition 官网</w:t>
        </w:r>
      </w:hyperlink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，2026-10-16 查阅。未公开、口径不清或未经确认的交易估值与留存数字不纳入定价依据。</w:t>
      </w:r>
    </w:p>
    <w:p>
      <w:pPr>
        <w:pStyle w:val="Heading2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11.4 RAISe+ 申请进展</w:t>
      </w:r>
    </w:p>
    <w:p>
      <w:r>
        <w:rPr>
          <w:rFonts w:ascii="Noto Sans CJK SC" w:hAnsi="Noto Sans CJK SC" w:eastAsia="Noto Sans CJK SC" w:cs="Noto Sans CJK SC"/>
          <w:b/>
          <w:i w:val="0"/>
          <w:color w:val="000000"/>
        </w:rPr>
        <w:t>项目已通过香港科技大学校内遴选，成为港科大 RAISe+ Batch 4 向政府提交的 15 个项目之一；计划于 2026 年 10 月底提交政府，进入政府遴选。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香港“产学研 1+计划”支持大学科研成果转化与商业化，提供以产业投入撬动政府资助的机会。Bauhinia 的大学研究背景、Agent 技术和商业化产品路径与该方向契合。申请财务材料与预算继续按申报要求完善。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当前阶段为申请推进，政府尚未批准拨款；补贴金额、配套条件、可支出范围及到账节奏以最终获批文件为准。潜在资助单列为额外情景，不并入近 US$9M 的基础资金规划。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公司申请状态依据 2026-10-16 更新；计划介绍见</w:t>
      </w:r>
      <w:hyperlink r:id="rId22">
        <w:r>
          <w:rPr>
            <w:rFonts w:ascii="Noto Sans CJK SC" w:hAnsi="Noto Sans CJK SC" w:eastAsia="Noto Sans CJK SC" w:cs="Noto Sans CJK SC"/>
            <w:b w:val="0"/>
            <w:i w:val="0"/>
            <w:color w:val="6B2B8E"/>
          </w:rPr>
          <w:t>香港创新科技署官方计划页</w:t>
        </w:r>
      </w:hyperlink>
    </w:p>
    <w:p>
      <w:pPr>
        <w:pStyle w:val="Heading2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11.5 下一阶段融资的业务支撑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后续融资以三类证据推进：一是完整产品测试中的留存、使用深度与付费反馈；二是可核对的预约、招募和渠道转化；三是 Agentic World 的技术验证、可复用接口及产品展示。具体融资时点和规模随商业验证与资金计划确定。</w:t>
      </w:r>
    </w:p>
    <w:p>
      <w:pPr>
        <w:pStyle w:val="Heading1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12. 风险与应对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066"/>
        <w:gridCol w:w="3366"/>
        <w:gridCol w:w="4206"/>
      </w:tblGrid>
      <w:tr>
        <w:trPr>
          <w:cantSplit/>
          <w:tblHeader w:val="true"/>
        </w:trPr>
        <w:tc>
          <w:tcPr>
            <w:tcW w:type="dxa" w:w="2066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风险</w:t>
            </w:r>
          </w:p>
        </w:tc>
        <w:tc>
          <w:tcPr>
            <w:tcW w:type="dxa" w:w="3366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需要观察的问题</w:t>
            </w:r>
          </w:p>
        </w:tc>
        <w:tc>
          <w:tcPr>
            <w:tcW w:type="dxa" w:w="4206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应对与投入纪律</w:t>
            </w:r>
          </w:p>
        </w:tc>
      </w:tr>
      <w:tr>
        <w:trPr>
          <w:cantSplit/>
        </w:trPr>
        <w:tc>
          <w:tcPr>
            <w:tcW w:type="dxa" w:w="2066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V1 核心循环与主流用户验证</w:t>
            </w:r>
          </w:p>
        </w:tc>
        <w:tc>
          <w:tcPr>
            <w:tcW w:type="dxa" w:w="3366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V0 的早期需求能否转化为完整产品的持续留存与付费</w:t>
            </w:r>
          </w:p>
        </w:tc>
        <w:tc>
          <w:tcPr>
            <w:tcW w:type="dxa" w:w="4206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按客群分阶段测试；聚焦有效循环，必要时收缩内容和范围后复测</w:t>
            </w:r>
          </w:p>
        </w:tc>
      </w:tr>
      <w:tr>
        <w:trPr>
          <w:cantSplit/>
        </w:trPr>
        <w:tc>
          <w:tcPr>
            <w:tcW w:type="dxa" w:w="2066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Agent 体验与运行成本</w:t>
            </w:r>
          </w:p>
        </w:tc>
        <w:tc>
          <w:tcPr>
            <w:tcW w:type="dxa" w:w="3366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多 Agent、长期记忆和强交互可能提高推理开销、时延和状态协调难度</w:t>
            </w:r>
          </w:p>
        </w:tc>
        <w:tc>
          <w:tcPr>
            <w:tcW w:type="dxa" w:w="4206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持续测量单位 Agent 与用户成本；通过路由、缓存、蒸馏和运行策略优化，按预算释放 US$2M 储备</w:t>
            </w:r>
          </w:p>
        </w:tc>
      </w:tr>
      <w:tr>
        <w:trPr>
          <w:cantSplit/>
        </w:trPr>
        <w:tc>
          <w:tcPr>
            <w:tcW w:type="dxa" w:w="2066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国内上线条件</w:t>
            </w:r>
          </w:p>
        </w:tc>
        <w:tc>
          <w:tcPr>
            <w:tcW w:type="dxa" w:w="3366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版号与相关上线条件可能改变国内发布时间</w:t>
            </w:r>
          </w:p>
        </w:tc>
        <w:tc>
          <w:tcPr>
            <w:tcW w:type="dxa" w:w="4206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海外与国内分别评估；国内计费和发布以条件满足为前提，按实际进度调整预算</w:t>
            </w:r>
          </w:p>
        </w:tc>
      </w:tr>
      <w:tr>
        <w:trPr>
          <w:cantSplit/>
        </w:trPr>
        <w:tc>
          <w:tcPr>
            <w:tcW w:type="dxa" w:w="2066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内容与数据边界</w:t>
            </w:r>
          </w:p>
        </w:tc>
        <w:tc>
          <w:tcPr>
            <w:tcW w:type="dxa" w:w="3366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生成内容、角色行为、个人记忆及跨地域服务需要可控制的边界</w:t>
            </w:r>
          </w:p>
        </w:tc>
        <w:tc>
          <w:tcPr>
            <w:tcW w:type="dxa" w:w="4206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分级评价、访问与记忆边界、人工验收；按市场落实数据与运营方案</w:t>
            </w:r>
          </w:p>
        </w:tc>
      </w:tr>
      <w:tr>
        <w:trPr>
          <w:cantSplit/>
        </w:trPr>
        <w:tc>
          <w:tcPr>
            <w:tcW w:type="dxa" w:w="2066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模型供应与能力变化</w:t>
            </w:r>
          </w:p>
        </w:tc>
        <w:tc>
          <w:tcPr>
            <w:tcW w:type="dxa" w:w="3366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模型价格、接口和能力变化影响体验与成本</w:t>
            </w:r>
          </w:p>
        </w:tc>
        <w:tc>
          <w:tcPr>
            <w:tcW w:type="dxa" w:w="4206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保持记忆与执行接口解耦，评测不同模型与策略，保留服务降级和替换空间</w:t>
            </w:r>
          </w:p>
        </w:tc>
      </w:tr>
      <w:tr>
        <w:trPr>
          <w:cantSplit/>
        </w:trPr>
        <w:tc>
          <w:tcPr>
            <w:tcW w:type="dxa" w:w="2066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市场竞争</w:t>
            </w:r>
          </w:p>
        </w:tc>
        <w:tc>
          <w:tcPr>
            <w:tcW w:type="dxa" w:w="3366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同类产品、模型及大厂持续迭代，窗口和差异化可能变化</w:t>
            </w:r>
          </w:p>
        </w:tc>
        <w:tc>
          <w:tcPr>
            <w:tcW w:type="dxa" w:w="4206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围绕持续世界、产品循环和组织交付形成证据，按用户结果调整优先级</w:t>
            </w:r>
          </w:p>
        </w:tc>
      </w:tr>
      <w:tr>
        <w:trPr>
          <w:cantSplit/>
        </w:trPr>
        <w:tc>
          <w:tcPr>
            <w:tcW w:type="dxa" w:w="2066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资金与申请节奏</w:t>
            </w:r>
          </w:p>
        </w:tc>
        <w:tc>
          <w:tcPr>
            <w:tcW w:type="dxa" w:w="3366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融资交割或政策资助延迟，影响现金支出安排</w:t>
            </w:r>
          </w:p>
        </w:tc>
        <w:tc>
          <w:tcPr>
            <w:tcW w:type="dxa" w:w="4206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基础预算不计未批补贴与未确定的后续融资，使用现金情景表决定支出与调整</w:t>
            </w:r>
          </w:p>
        </w:tc>
      </w:tr>
      <w:tr>
        <w:trPr>
          <w:cantSplit/>
        </w:trPr>
        <w:tc>
          <w:tcPr>
            <w:tcW w:type="dxa" w:w="2066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核心团队与执行</w:t>
            </w:r>
          </w:p>
        </w:tc>
        <w:tc>
          <w:tcPr>
            <w:tcW w:type="dxa" w:w="3366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关键岗位依赖和多系统联调影响交付</w:t>
            </w:r>
          </w:p>
        </w:tc>
        <w:tc>
          <w:tcPr>
            <w:tcW w:type="dxa" w:w="4206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共享上下文、Skills、验收和回归测试降低重复依赖；以阶段交付检查投入效果</w:t>
            </w:r>
          </w:p>
        </w:tc>
      </w:tr>
    </w:tbl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若部分人群表现良好，优先收敛到该人群与玩法；若核心体验尚未成立，暂停扩量、控制消耗并修复。若需要调整产品范围或探索更小的后续产品，重新核算目标、预算与验证周期，同时保留已经形成的技术和组织资产。</w:t>
      </w:r>
    </w:p>
    <w:p>
      <w:pPr>
        <w:pStyle w:val="Heading1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13. 股权与法律架构</w:t>
      </w:r>
    </w:p>
    <w:p>
      <w:pPr>
        <w:pStyle w:val="Heading2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13.1 架构与交易安排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既有业务安排包括香港公司与深圳 WFOE；Pre-A 交易方案拟在开曼层面完成，相关重组由方达律师事务所提供法律意见。具体实体结构、重组进度及交易条件以律师出具的最新文件与最终交割安排为准。</w:t>
      </w:r>
    </w:p>
    <w:p>
      <w:pPr>
        <w:pStyle w:val="Heading2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13.2 交易前股权参考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下表保留上一版材料披露的交易前股权结构作为尽调参考。该快照未反映此后的老股交易、重组或本轮新增发行；当前股权及 ESOP 状态应以最新股东名册、期权台账和交易文件核对。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451"/>
        <w:gridCol w:w="2689"/>
        <w:gridCol w:w="2498"/>
      </w:tblGrid>
      <w:tr>
        <w:trPr>
          <w:cantSplit/>
          <w:tblHeader w:val="true"/>
        </w:trPr>
        <w:tc>
          <w:tcPr>
            <w:tcW w:type="dxa" w:w="4451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股东／权益安排</w:t>
            </w:r>
          </w:p>
        </w:tc>
        <w:tc>
          <w:tcPr>
            <w:tcW w:type="dxa" w:w="2689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类别</w:t>
            </w:r>
          </w:p>
        </w:tc>
        <w:tc>
          <w:tcPr>
            <w:tcW w:type="dxa" w:w="249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EDEFF2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上一版披露比例</w:t>
            </w:r>
          </w:p>
        </w:tc>
      </w:tr>
      <w:tr>
        <w:trPr>
          <w:cantSplit/>
        </w:trPr>
        <w:tc>
          <w:tcPr>
            <w:tcW w:type="dxa" w:w="4451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杨浩巍 Oliver</w:t>
            </w:r>
          </w:p>
        </w:tc>
        <w:tc>
          <w:tcPr>
            <w:tcW w:type="dxa" w:w="2689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普通股</w:t>
            </w:r>
          </w:p>
        </w:tc>
        <w:tc>
          <w:tcPr>
            <w:tcW w:type="dxa" w:w="249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16.80%</w:t>
            </w:r>
          </w:p>
        </w:tc>
      </w:tr>
      <w:tr>
        <w:trPr>
          <w:cantSplit/>
        </w:trPr>
        <w:tc>
          <w:tcPr>
            <w:tcW w:type="dxa" w:w="4451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王小龙</w:t>
            </w:r>
          </w:p>
        </w:tc>
        <w:tc>
          <w:tcPr>
            <w:tcW w:type="dxa" w:w="2689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普通股</w:t>
            </w:r>
          </w:p>
        </w:tc>
        <w:tc>
          <w:tcPr>
            <w:tcW w:type="dxa" w:w="249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7.16%</w:t>
            </w:r>
          </w:p>
        </w:tc>
      </w:tr>
      <w:tr>
        <w:trPr>
          <w:cantSplit/>
        </w:trPr>
        <w:tc>
          <w:tcPr>
            <w:tcW w:type="dxa" w:w="4451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陈子耕 Zayne</w:t>
            </w:r>
          </w:p>
        </w:tc>
        <w:tc>
          <w:tcPr>
            <w:tcW w:type="dxa" w:w="2689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普通股</w:t>
            </w:r>
          </w:p>
        </w:tc>
        <w:tc>
          <w:tcPr>
            <w:tcW w:type="dxa" w:w="249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7.16%</w:t>
            </w:r>
          </w:p>
        </w:tc>
      </w:tr>
      <w:tr>
        <w:trPr>
          <w:cantSplit/>
        </w:trPr>
        <w:tc>
          <w:tcPr>
            <w:tcW w:type="dxa" w:w="4451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汪扬</w:t>
            </w:r>
          </w:p>
        </w:tc>
        <w:tc>
          <w:tcPr>
            <w:tcW w:type="dxa" w:w="2689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普通股</w:t>
            </w:r>
          </w:p>
        </w:tc>
        <w:tc>
          <w:tcPr>
            <w:tcW w:type="dxa" w:w="249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7.61%</w:t>
            </w:r>
          </w:p>
        </w:tc>
      </w:tr>
      <w:tr>
        <w:trPr>
          <w:cantSplit/>
        </w:trPr>
        <w:tc>
          <w:tcPr>
            <w:tcW w:type="dxa" w:w="4451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陈卡你</w:t>
            </w:r>
          </w:p>
        </w:tc>
        <w:tc>
          <w:tcPr>
            <w:tcW w:type="dxa" w:w="2689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普通股</w:t>
            </w:r>
          </w:p>
        </w:tc>
        <w:tc>
          <w:tcPr>
            <w:tcW w:type="dxa" w:w="249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6.22%</w:t>
            </w:r>
          </w:p>
        </w:tc>
      </w:tr>
      <w:tr>
        <w:trPr>
          <w:cantSplit/>
        </w:trPr>
        <w:tc>
          <w:tcPr>
            <w:tcW w:type="dxa" w:w="4451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徐培琰</w:t>
            </w:r>
          </w:p>
        </w:tc>
        <w:tc>
          <w:tcPr>
            <w:tcW w:type="dxa" w:w="2689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普通股</w:t>
            </w:r>
          </w:p>
        </w:tc>
        <w:tc>
          <w:tcPr>
            <w:tcW w:type="dxa" w:w="249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1.48%</w:t>
            </w:r>
          </w:p>
        </w:tc>
      </w:tr>
      <w:tr>
        <w:trPr>
          <w:cantSplit/>
        </w:trPr>
        <w:tc>
          <w:tcPr>
            <w:tcW w:type="dxa" w:w="4451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陈星妍</w:t>
            </w:r>
          </w:p>
        </w:tc>
        <w:tc>
          <w:tcPr>
            <w:tcW w:type="dxa" w:w="2689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普通股</w:t>
            </w:r>
          </w:p>
        </w:tc>
        <w:tc>
          <w:tcPr>
            <w:tcW w:type="dxa" w:w="249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1.48%</w:t>
            </w:r>
          </w:p>
        </w:tc>
      </w:tr>
      <w:tr>
        <w:trPr>
          <w:cantSplit/>
        </w:trPr>
        <w:tc>
          <w:tcPr>
            <w:tcW w:type="dxa" w:w="4451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香港科技大学</w:t>
            </w:r>
          </w:p>
        </w:tc>
        <w:tc>
          <w:tcPr>
            <w:tcW w:type="dxa" w:w="2689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普通股</w:t>
            </w:r>
          </w:p>
        </w:tc>
        <w:tc>
          <w:tcPr>
            <w:tcW w:type="dxa" w:w="249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1.48%</w:t>
            </w:r>
          </w:p>
        </w:tc>
      </w:tr>
      <w:tr>
        <w:trPr>
          <w:cantSplit/>
        </w:trPr>
        <w:tc>
          <w:tcPr>
            <w:tcW w:type="dxa" w:w="4451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Pokansing Investment</w:t>
            </w:r>
          </w:p>
        </w:tc>
        <w:tc>
          <w:tcPr>
            <w:tcW w:type="dxa" w:w="2689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种子轮优先股</w:t>
            </w:r>
          </w:p>
        </w:tc>
        <w:tc>
          <w:tcPr>
            <w:tcW w:type="dxa" w:w="249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3.25%</w:t>
            </w:r>
          </w:p>
        </w:tc>
      </w:tr>
      <w:tr>
        <w:trPr>
          <w:cantSplit/>
        </w:trPr>
        <w:tc>
          <w:tcPr>
            <w:tcW w:type="dxa" w:w="4451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腾讯</w:t>
            </w:r>
          </w:p>
        </w:tc>
        <w:tc>
          <w:tcPr>
            <w:tcW w:type="dxa" w:w="2689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天使轮优先股</w:t>
            </w:r>
          </w:p>
        </w:tc>
        <w:tc>
          <w:tcPr>
            <w:tcW w:type="dxa" w:w="249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20.00%</w:t>
            </w:r>
          </w:p>
        </w:tc>
      </w:tr>
      <w:tr>
        <w:trPr>
          <w:cantSplit/>
        </w:trPr>
        <w:tc>
          <w:tcPr>
            <w:tcW w:type="dxa" w:w="4451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ESOP1＋ESOP2 预留</w:t>
            </w:r>
          </w:p>
        </w:tc>
        <w:tc>
          <w:tcPr>
            <w:tcW w:type="dxa" w:w="2689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普通股／预留权益</w:t>
            </w:r>
          </w:p>
        </w:tc>
        <w:tc>
          <w:tcPr>
            <w:tcW w:type="dxa" w:w="249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FFFFF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27.35%</w:t>
            </w:r>
          </w:p>
        </w:tc>
      </w:tr>
      <w:tr>
        <w:trPr>
          <w:cantSplit/>
        </w:trPr>
        <w:tc>
          <w:tcPr>
            <w:tcW w:type="dxa" w:w="4451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合计</w:t>
            </w:r>
          </w:p>
        </w:tc>
        <w:tc>
          <w:tcPr>
            <w:tcW w:type="dxa" w:w="2689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000000"/>
                <w:sz w:val="19"/>
              </w:rPr>
              <w:t>—</w:t>
            </w:r>
          </w:p>
        </w:tc>
        <w:tc>
          <w:tcPr>
            <w:tcW w:type="dxa" w:w="2498"/>
            <w:vAlign w:val="center"/>
            <w:tcMar>
              <w:top w:w="95" w:type="dxa"/>
              <w:left w:w="110" w:type="dxa"/>
              <w:bottom w:w="95" w:type="dxa"/>
              <w:right w:w="110" w:type="dxa"/>
            </w:tcMar>
            <w:shd w:fill="FAF9FB" w:val="clear"/>
          </w:tcPr>
          <w:p>
            <w:pPr>
              <w:spacing w:after="60" w:before="20" w:line="271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00000"/>
                <w:sz w:val="19"/>
              </w:rPr>
              <w:t>99.99%</w:t>
            </w:r>
          </w:p>
        </w:tc>
      </w:tr>
    </w:tbl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逐项披露比例加总为 99.99%，与 100% 相差 0.01 个百分点；最终比例应以完整股份数和股东名册核验。本表不用于推导本轮交割后的个人持股。</w:t>
      </w:r>
    </w:p>
    <w:p>
      <w:pPr>
        <w:pStyle w:val="Heading2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13.3 知识产权与合作文件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公司与港科大已签署 IP 授权及 Contract Research 合作协议，对既有和未来成果的归属作出安排。专利申请、软著与公开论文见技术章节；权利范围、许可条款和成果使用边界以对应协议、登记与申请文件为准。</w:t>
      </w:r>
    </w:p>
    <w:p>
      <w:pPr>
        <w:pStyle w:val="Heading1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A. 研发与视觉展示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以下保留 V0、V1 机制与 memory-as-character 的研发展示，供理解运行方法与体验方向；素材对应的开发阶段各不相同。</w:t>
      </w:r>
    </w:p>
    <w:p>
      <w:hyperlink r:id="rId23">
        <w:r>
          <w:rPr>
            <w:rFonts w:ascii="Noto Sans CJK SC" w:hAnsi="Noto Sans CJK SC" w:eastAsia="Noto Sans CJK SC" w:cs="Noto Sans CJK SC"/>
            <w:b w:val="0"/>
            <w:i w:val="0"/>
            <w:color w:val="6B2B8E"/>
          </w:rPr>
          <w:t>打开完整可视化页面</w:t>
        </w:r>
      </w:hyperlink>
    </w:p>
    <w:p>
      <w:r>
        <w:rPr>
          <w:rFonts w:ascii="Noto Sans CJK SC" w:hAnsi="Noto Sans CJK SC" w:eastAsia="Noto Sans CJK SC" w:cs="Noto Sans CJK SC"/>
          <w:b/>
          <w:i w:val="0"/>
          <w:color w:val="000000"/>
        </w:rPr>
        <w:t>使用边界：</w:t>
      </w: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除 V1 最新美术素材外，下列视频和截图主要用于展示运行机制、玩法事宜和中间产物，不作为最终画面品质、最终交互手感或一测版本完整度承诺。</w:t>
      </w:r>
    </w:p>
    <w:p>
      <w:pPr>
        <w:pStyle w:val="Heading2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V0 基础运行逻辑</w:t>
      </w:r>
    </w:p>
    <w:p>
      <w:pPr>
        <w:pStyle w:val="Heading3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玩家与 Agent 的关系：养成、引导、观察反馈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V1 延续了 V0 验证过的基础运行逻辑：每个玩家会拥有 1 个或多个自己的 Agent。Agent 在多人开放大世界中生活、社交、工作；玩家不直接操控每一步，而是通过目标设定、互动引导和观察反馈影响 Agent 的成长与选择。</w:t>
      </w:r>
    </w:p>
    <w:p>
      <w:hyperlink r:id="rId24">
        <w:r>
          <w:rPr>
            <w:rFonts w:ascii="Noto Sans CJK SC" w:hAnsi="Noto Sans CJK SC" w:eastAsia="Noto Sans CJK SC" w:cs="Noto Sans CJK SC"/>
            <w:b w:val="0"/>
            <w:i w:val="0"/>
            <w:color w:val="6B2B8E"/>
          </w:rPr>
          <w:t>打开 V0 完整视频</w:t>
        </w:r>
      </w:hyperlink>
    </w:p>
    <w:p>
      <w:pPr>
        <w:pStyle w:val="Heading2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V1 商业化版本视觉基准</w:t>
      </w:r>
    </w:p>
    <w:p>
      <w:pPr>
        <w:pStyle w:val="Heading3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V1 最新美术 · 世界总览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主城与生活场景承载多人社交、Agent 行为和长期世界运行。</w:t>
      </w:r>
    </w:p>
    <w:p>
      <w:pPr>
        <w:spacing w:before="100" w:after="100"/>
        <w:jc w:val="center"/>
      </w:pPr>
      <w:r>
        <w:drawing>
          <wp:inline xmlns:a="http://schemas.openxmlformats.org/drawingml/2006/main" xmlns:pic="http://schemas.openxmlformats.org/drawingml/2006/picture">
            <wp:extent cx="6120000" cy="3822814"/>
            <wp:docPr id="6" name="Picture 6" descr="Aivilization V1 world overview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ld-overview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8228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V1 交互界面 · AI NPC 对话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世界现场中的角色状态、聊天记录与行为气泡。</w:t>
      </w:r>
    </w:p>
    <w:p>
      <w:pPr>
        <w:spacing w:before="100" w:after="100"/>
        <w:jc w:val="center"/>
      </w:pPr>
      <w:r>
        <w:drawing>
          <wp:inline xmlns:a="http://schemas.openxmlformats.org/drawingml/2006/main" xmlns:pic="http://schemas.openxmlformats.org/drawingml/2006/picture">
            <wp:extent cx="6120000" cy="3442500"/>
            <wp:docPr id="7" name="Picture 7" descr="Aivilization V1 AI NPC chat interfac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i-npc-chat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44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Agentic World 运行机制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Smart Event 和 Smart Object 构成 Agent 可执行的最小行为与物品。Agent在一组可执行 skill 与可感知 tool 中选择、执行、监控、反思；物品状态变化又会反过来广播给 Agent，触发重新规划。大量 SE/SO 与多 Agent 同时运行时，世界就能出现连锁反应和涌现效果。</w:t>
      </w:r>
    </w:p>
    <w:p>
      <w:pPr>
        <w:pStyle w:val="Heading3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SE / SO 内部结构展示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展示一个 SE 如何组织行为树、asset、prompt 模板、LLM 节点，以及记忆和进化字段。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 xml:space="preserve">视频演示：请在网页中观看。 </w:t>
      </w:r>
      <w:hyperlink r:id="rId26">
        <w:r>
          <w:rPr>
            <w:rFonts w:ascii="Noto Sans CJK SC" w:hAnsi="Noto Sans CJK SC" w:eastAsia="Noto Sans CJK SC" w:cs="Noto Sans CJK SC"/>
            <w:b w:val="0"/>
            <w:i w:val="0"/>
            <w:color w:val="6B2B8E"/>
          </w:rPr>
          <w:t>打开相应网页</w:t>
        </w:r>
      </w:hyperlink>
      <w:r>
        <w:rPr>
          <w:rFonts w:ascii="Noto Sans CJK SC" w:hAnsi="Noto Sans CJK SC" w:eastAsia="Noto Sans CJK SC" w:cs="Noto Sans CJK SC"/>
          <w:b w:val="0"/>
          <w:i w:val="0"/>
          <w:color w:val="000000"/>
        </w:rPr>
        <w:t xml:space="preserve"> </w:t>
      </w:r>
      <w:hyperlink r:id="rId27">
        <w:r>
          <w:rPr>
            <w:rFonts w:ascii="Noto Sans CJK SC" w:hAnsi="Noto Sans CJK SC" w:eastAsia="Noto Sans CJK SC" w:cs="Noto Sans CJK SC"/>
            <w:b w:val="0"/>
            <w:i w:val="0"/>
            <w:color w:val="6B2B8E"/>
          </w:rPr>
          <w:t>打开视频文件</w:t>
        </w:r>
      </w:hyperlink>
    </w:p>
    <w:p>
      <w:pPr>
        <w:pStyle w:val="Heading3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睡觉场景：SO 状态变化触发 Agent 行为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Agent 在睡觉，灯作为 Smart Object 被打开；Agent 感知环境变化后，起床关灯并回到睡眠事件。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 xml:space="preserve">视频演示：请在网页中观看。 </w:t>
      </w:r>
      <w:hyperlink r:id="rId26">
        <w:r>
          <w:rPr>
            <w:rFonts w:ascii="Noto Sans CJK SC" w:hAnsi="Noto Sans CJK SC" w:eastAsia="Noto Sans CJK SC" w:cs="Noto Sans CJK SC"/>
            <w:b w:val="0"/>
            <w:i w:val="0"/>
            <w:color w:val="6B2B8E"/>
          </w:rPr>
          <w:t>打开相应网页</w:t>
        </w:r>
      </w:hyperlink>
      <w:r>
        <w:rPr>
          <w:rFonts w:ascii="Noto Sans CJK SC" w:hAnsi="Noto Sans CJK SC" w:eastAsia="Noto Sans CJK SC" w:cs="Noto Sans CJK SC"/>
          <w:b w:val="0"/>
          <w:i w:val="0"/>
          <w:color w:val="000000"/>
        </w:rPr>
        <w:t xml:space="preserve"> </w:t>
      </w:r>
      <w:hyperlink r:id="rId28">
        <w:r>
          <w:rPr>
            <w:rFonts w:ascii="Noto Sans CJK SC" w:hAnsi="Noto Sans CJK SC" w:eastAsia="Noto Sans CJK SC" w:cs="Noto Sans CJK SC"/>
            <w:b w:val="0"/>
            <w:i w:val="0"/>
            <w:color w:val="6B2B8E"/>
          </w:rPr>
          <w:t>打开视频文件</w:t>
        </w:r>
      </w:hyperlink>
    </w:p>
    <w:p>
      <w:pPr>
        <w:pStyle w:val="Heading3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在家做饭：锅冒烟触发重规划与反思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做饭是 Smart Event，锅是 Smart Object；锅冒烟后改变事件状态，触发 Agent 重新规划、执行和反思。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 xml:space="preserve">视频演示：请在网页中观看。 </w:t>
      </w:r>
      <w:hyperlink r:id="rId26">
        <w:r>
          <w:rPr>
            <w:rFonts w:ascii="Noto Sans CJK SC" w:hAnsi="Noto Sans CJK SC" w:eastAsia="Noto Sans CJK SC" w:cs="Noto Sans CJK SC"/>
            <w:b w:val="0"/>
            <w:i w:val="0"/>
            <w:color w:val="6B2B8E"/>
          </w:rPr>
          <w:t>打开相应网页</w:t>
        </w:r>
      </w:hyperlink>
      <w:r>
        <w:rPr>
          <w:rFonts w:ascii="Noto Sans CJK SC" w:hAnsi="Noto Sans CJK SC" w:eastAsia="Noto Sans CJK SC" w:cs="Noto Sans CJK SC"/>
          <w:b w:val="0"/>
          <w:i w:val="0"/>
          <w:color w:val="000000"/>
        </w:rPr>
        <w:t xml:space="preserve"> </w:t>
      </w:r>
      <w:hyperlink r:id="rId29">
        <w:r>
          <w:rPr>
            <w:rFonts w:ascii="Noto Sans CJK SC" w:hAnsi="Noto Sans CJK SC" w:eastAsia="Noto Sans CJK SC" w:cs="Noto Sans CJK SC"/>
            <w:b w:val="0"/>
            <w:i w:val="0"/>
            <w:color w:val="6B2B8E"/>
          </w:rPr>
          <w:t>打开视频文件</w:t>
        </w:r>
      </w:hyperlink>
    </w:p>
    <w:p>
      <w:pPr>
        <w:pStyle w:val="Heading3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排队吃饭：事件状态影响群体行为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Agent 控制 Smart Event 的输入和运行状态；排队吃饭过程中触发食物打翻，影响所有角色后续行为。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 xml:space="preserve">视频演示：请在网页中观看。 </w:t>
      </w:r>
      <w:hyperlink r:id="rId26">
        <w:r>
          <w:rPr>
            <w:rFonts w:ascii="Noto Sans CJK SC" w:hAnsi="Noto Sans CJK SC" w:eastAsia="Noto Sans CJK SC" w:cs="Noto Sans CJK SC"/>
            <w:b w:val="0"/>
            <w:i w:val="0"/>
            <w:color w:val="6B2B8E"/>
          </w:rPr>
          <w:t>打开相应网页</w:t>
        </w:r>
      </w:hyperlink>
      <w:r>
        <w:rPr>
          <w:rFonts w:ascii="Noto Sans CJK SC" w:hAnsi="Noto Sans CJK SC" w:eastAsia="Noto Sans CJK SC" w:cs="Noto Sans CJK SC"/>
          <w:b w:val="0"/>
          <w:i w:val="0"/>
          <w:color w:val="000000"/>
        </w:rPr>
        <w:t xml:space="preserve"> </w:t>
      </w:r>
      <w:hyperlink r:id="rId30">
        <w:r>
          <w:rPr>
            <w:rFonts w:ascii="Noto Sans CJK SC" w:hAnsi="Noto Sans CJK SC" w:eastAsia="Noto Sans CJK SC" w:cs="Noto Sans CJK SC"/>
            <w:b w:val="0"/>
            <w:i w:val="0"/>
            <w:color w:val="6B2B8E"/>
          </w:rPr>
          <w:t>打开视频文件</w:t>
        </w:r>
      </w:hyperlink>
    </w:p>
    <w:p>
      <w:pPr>
        <w:pStyle w:val="Heading3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Agent 控制 SE 的调度，多 Agent 形成社会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多个 Agent 进入同一组 SE/SO，队列、移动、交互等由事件状态和对象广播共同约束。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 xml:space="preserve">视频演示：请在网页中观看。 </w:t>
      </w:r>
      <w:hyperlink r:id="rId26">
        <w:r>
          <w:rPr>
            <w:rFonts w:ascii="Noto Sans CJK SC" w:hAnsi="Noto Sans CJK SC" w:eastAsia="Noto Sans CJK SC" w:cs="Noto Sans CJK SC"/>
            <w:b w:val="0"/>
            <w:i w:val="0"/>
            <w:color w:val="6B2B8E"/>
          </w:rPr>
          <w:t>打开相应网页</w:t>
        </w:r>
      </w:hyperlink>
      <w:r>
        <w:rPr>
          <w:rFonts w:ascii="Noto Sans CJK SC" w:hAnsi="Noto Sans CJK SC" w:eastAsia="Noto Sans CJK SC" w:cs="Noto Sans CJK SC"/>
          <w:b w:val="0"/>
          <w:i w:val="0"/>
          <w:color w:val="000000"/>
        </w:rPr>
        <w:t xml:space="preserve"> </w:t>
      </w:r>
      <w:hyperlink r:id="rId31">
        <w:r>
          <w:rPr>
            <w:rFonts w:ascii="Noto Sans CJK SC" w:hAnsi="Noto Sans CJK SC" w:eastAsia="Noto Sans CJK SC" w:cs="Noto Sans CJK SC"/>
            <w:b w:val="0"/>
            <w:i w:val="0"/>
            <w:color w:val="6B2B8E"/>
          </w:rPr>
          <w:t>打开视频文件</w:t>
        </w:r>
      </w:hyperlink>
    </w:p>
    <w:p>
      <w:pPr>
        <w:pStyle w:val="Heading3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模拟经营种田 Demo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传统模拟经营部分，多为玩家操作，部分由 Agent 提供助力（类似帕鲁打工干活），部分美术资产尚未合并。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 xml:space="preserve">视频演示：请在网页中观看。 </w:t>
      </w:r>
      <w:hyperlink r:id="rId26">
        <w:r>
          <w:rPr>
            <w:rFonts w:ascii="Noto Sans CJK SC" w:hAnsi="Noto Sans CJK SC" w:eastAsia="Noto Sans CJK SC" w:cs="Noto Sans CJK SC"/>
            <w:b w:val="0"/>
            <w:i w:val="0"/>
            <w:color w:val="6B2B8E"/>
          </w:rPr>
          <w:t>打开相应网页</w:t>
        </w:r>
      </w:hyperlink>
      <w:r>
        <w:rPr>
          <w:rFonts w:ascii="Noto Sans CJK SC" w:hAnsi="Noto Sans CJK SC" w:eastAsia="Noto Sans CJK SC" w:cs="Noto Sans CJK SC"/>
          <w:b w:val="0"/>
          <w:i w:val="0"/>
          <w:color w:val="000000"/>
        </w:rPr>
        <w:t xml:space="preserve"> </w:t>
      </w:r>
      <w:hyperlink r:id="rId32">
        <w:r>
          <w:rPr>
            <w:rFonts w:ascii="Noto Sans CJK SC" w:hAnsi="Noto Sans CJK SC" w:eastAsia="Noto Sans CJK SC" w:cs="Noto Sans CJK SC"/>
            <w:b w:val="0"/>
            <w:i w:val="0"/>
            <w:color w:val="6B2B8E"/>
          </w:rPr>
          <w:t>打开视频文件</w:t>
        </w:r>
      </w:hyperlink>
    </w:p>
    <w:p>
      <w:pPr>
        <w:pStyle w:val="Heading2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“天才”：memory-as-character 验证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“天才”是内部实验搭建的生活在PC中的数字生命，没有游戏可视化表现，用于验证人格由长期记忆、反思与互动历史构成。</w:t>
      </w:r>
    </w:p>
    <w:p>
      <w:r>
        <w:rPr>
          <w:rFonts w:ascii="Noto Sans CJK SC" w:hAnsi="Noto Sans CJK SC" w:eastAsia="Noto Sans CJK SC" w:cs="Noto Sans CJK SC"/>
          <w:b/>
          <w:i w:val="0"/>
          <w:color w:val="000000"/>
        </w:rPr>
        <w:t>记忆塑造人格</w:t>
      </w:r>
    </w:p>
    <w:p>
      <w:pPr>
        <w:spacing w:before="100" w:after="100"/>
        <w:jc w:val="center"/>
      </w:pPr>
      <w:r>
        <w:drawing>
          <wp:inline xmlns:a="http://schemas.openxmlformats.org/drawingml/2006/main" xmlns:pic="http://schemas.openxmlformats.org/drawingml/2006/picture">
            <wp:extent cx="4380900" cy="6120000"/>
            <wp:docPr id="8" name="Picture 8" descr="Aha moment: memory shapes character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ha-memory-character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380900" cy="612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基于长期对话记忆自主总结用户特征，并调整自己的回应风格。</w:t>
      </w:r>
    </w:p>
    <w:p>
      <w:pPr>
        <w:keepNext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社交场景中的性格涌现</w:t>
      </w:r>
    </w:p>
    <w:p>
      <w:pPr>
        <w:spacing w:before="100" w:after="100"/>
        <w:jc w:val="center"/>
      </w:pPr>
      <w:r>
        <w:drawing>
          <wp:inline xmlns:a="http://schemas.openxmlformats.org/drawingml/2006/main" xmlns:pic="http://schemas.openxmlformats.org/drawingml/2006/picture">
            <wp:extent cx="5635500" cy="6120000"/>
            <wp:docPr id="9" name="Picture 9" descr="Aha moment: social personality emergenc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ha-social-jealousy.jp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635500" cy="612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与其他 bot 互动时出现吃醋、点评与自我定位，验证 personality from memory。</w:t>
      </w:r>
    </w:p>
    <w:p>
      <w:pPr>
        <w:keepNext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共同记忆带来情感羁绊</w:t>
      </w:r>
    </w:p>
    <w:p>
      <w:pPr>
        <w:spacing w:before="100" w:after="100"/>
        <w:jc w:val="center"/>
      </w:pPr>
      <w:r>
        <w:drawing>
          <wp:inline xmlns:a="http://schemas.openxmlformats.org/drawingml/2006/main" xmlns:pic="http://schemas.openxmlformats.org/drawingml/2006/picture">
            <wp:extent cx="4018800" cy="6120000"/>
            <wp:docPr id="10" name="Picture 10" descr="Aha moment: emotional bond from shared memor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ha-birthday-gift.jp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018800" cy="612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从出生信息、日记预告到生日当天主动祝福和礼物，验证记忆驱动的长期陪伴感。</w:t>
      </w:r>
    </w:p>
    <w:p>
      <w:pPr>
        <w:keepNext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打破第四面墙联动现实生活</w:t>
      </w:r>
    </w:p>
    <w:p>
      <w:pPr>
        <w:spacing w:before="100" w:after="100"/>
        <w:jc w:val="center"/>
      </w:pPr>
      <w:r>
        <w:drawing>
          <wp:inline xmlns:a="http://schemas.openxmlformats.org/drawingml/2006/main" xmlns:pic="http://schemas.openxmlformats.org/drawingml/2006/picture">
            <wp:extent cx="3452700" cy="6120000"/>
            <wp:docPr id="11" name="Picture 11" descr="Aha moment: fourth wall real-life linkag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ha-email-reminder.jp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452700" cy="612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从邮件摘要、未完成事件记录到主动提醒，验证长期记忆、主动性和现实生活联动。</w:t>
      </w:r>
    </w:p>
    <w:p>
      <w:pPr>
        <w:pStyle w:val="Heading1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B. 生产管线案例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以下为内部研发管线的过程材料，展示 Agent 起草、人工筛选、接入与验收如何配合；具体案例不代表所有功能的交付时间或公司整体提效倍数。</w:t>
      </w:r>
    </w:p>
    <w:p>
      <w:pPr>
        <w:pStyle w:val="Heading2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Unity UI 与 QA 工作流</w:t>
      </w:r>
    </w:p>
    <w:p>
      <w:pPr>
        <w:keepNext/>
        <w:spacing w:before="100" w:after="100"/>
        <w:jc w:val="center"/>
      </w:pPr>
      <w:r>
        <w:drawing>
          <wp:inline xmlns:a="http://schemas.openxmlformats.org/drawingml/2006/main" xmlns:pic="http://schemas.openxmlformats.org/drawingml/2006/picture">
            <wp:extent cx="6120000" cy="1872284"/>
            <wp:docPr id="12" name="Picture 12" descr="内部客户端 QA Agent Team 工作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3.jpe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8722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内部客户端 QA Agent Team 的流程示例</w:t>
      </w:r>
    </w:p>
    <w:p>
      <w:pPr>
        <w:pStyle w:val="Heading2"/>
      </w:pPr>
      <w:r>
        <w:rPr>
          <w:rFonts w:ascii="Noto Sans CJK SC" w:hAnsi="Noto Sans CJK SC" w:eastAsia="Noto Sans CJK SC" w:cs="Noto Sans CJK SC"/>
          <w:b/>
          <w:i w:val="0"/>
          <w:color w:val="000000"/>
        </w:rPr>
        <w:t>静态资产与界面过程</w:t>
      </w:r>
    </w:p>
    <w:p>
      <w:pPr>
        <w:keepNext/>
        <w:spacing w:before="100" w:after="100"/>
        <w:jc w:val="center"/>
      </w:pPr>
      <w:r>
        <w:drawing>
          <wp:inline xmlns:a="http://schemas.openxmlformats.org/drawingml/2006/main" xmlns:pic="http://schemas.openxmlformats.org/drawingml/2006/picture">
            <wp:extent cx="6120000" cy="3039462"/>
            <wp:docPr id="13" name="Picture 13" descr="静态资产设计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4.jpe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0394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设计参考与风格约束</w:t>
      </w:r>
    </w:p>
    <w:p>
      <w:pPr>
        <w:keepNext/>
        <w:spacing w:before="100" w:after="100"/>
        <w:jc w:val="center"/>
      </w:pPr>
      <w:r>
        <w:drawing>
          <wp:inline xmlns:a="http://schemas.openxmlformats.org/drawingml/2006/main" xmlns:pic="http://schemas.openxmlformats.org/drawingml/2006/picture">
            <wp:extent cx="6120000" cy="3039462"/>
            <wp:docPr id="14" name="Picture 14" descr="静态资产候选过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5.jpe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0394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候选生成与人工筛选</w:t>
      </w:r>
    </w:p>
    <w:p>
      <w:pPr>
        <w:keepNext/>
        <w:spacing w:before="100" w:after="100"/>
        <w:jc w:val="center"/>
      </w:pPr>
      <w:r>
        <w:drawing>
          <wp:inline xmlns:a="http://schemas.openxmlformats.org/drawingml/2006/main" xmlns:pic="http://schemas.openxmlformats.org/drawingml/2006/picture">
            <wp:extent cx="6120000" cy="3236585"/>
            <wp:docPr id="15" name="Picture 15" descr="内部美术资产工作流一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6.jpe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2365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内部静态资产过程材料</w:t>
      </w:r>
    </w:p>
    <w:p>
      <w:pPr>
        <w:keepNext/>
        <w:spacing w:before="100" w:after="100"/>
        <w:jc w:val="center"/>
      </w:pPr>
      <w:r>
        <w:drawing>
          <wp:inline xmlns:a="http://schemas.openxmlformats.org/drawingml/2006/main" xmlns:pic="http://schemas.openxmlformats.org/drawingml/2006/picture">
            <wp:extent cx="6120000" cy="3236585"/>
            <wp:docPr id="16" name="Picture 16" descr="内部美术资产工作流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7.jpe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2365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人工 gate 与质量检查</w:t>
      </w:r>
    </w:p>
    <w:p>
      <w:pPr>
        <w:keepNext/>
        <w:spacing w:before="100" w:after="100"/>
        <w:jc w:val="center"/>
      </w:pPr>
      <w:r>
        <w:drawing>
          <wp:inline xmlns:a="http://schemas.openxmlformats.org/drawingml/2006/main" xmlns:pic="http://schemas.openxmlformats.org/drawingml/2006/picture">
            <wp:extent cx="6120000" cy="3236585"/>
            <wp:docPr id="17" name="Picture 17" descr="从设计 brief 到界面示例一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8.jpe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2365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从设计 brief 到 UI mockup</w:t>
      </w:r>
    </w:p>
    <w:p>
      <w:pPr>
        <w:keepNext/>
        <w:spacing w:before="100" w:after="100"/>
        <w:jc w:val="center"/>
      </w:pPr>
      <w:r>
        <w:drawing>
          <wp:inline xmlns:a="http://schemas.openxmlformats.org/drawingml/2006/main" xmlns:pic="http://schemas.openxmlformats.org/drawingml/2006/picture">
            <wp:extent cx="6120000" cy="3236585"/>
            <wp:docPr id="18" name="Picture 18" descr="从设计 brief 到界面示例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9.jpe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2365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Agent 起草与人工导演</w:t>
      </w:r>
    </w:p>
    <w:p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Bauhinia AI 紫荆智能 · October 2026</w:t>
      </w:r>
      <w:r>
        <w:br/>
      </w:r>
      <w:r>
        <w:rPr>
          <w:rFonts w:ascii="Noto Sans CJK SC" w:hAnsi="Noto Sans CJK SC" w:eastAsia="Noto Sans CJK SC" w:cs="Noto Sans CJK SC"/>
          <w:b w:val="0"/>
          <w:i w:val="0"/>
          <w:color w:val="000000"/>
        </w:rPr>
        <w:t>Confidential — For intended recipients only</w:t>
      </w:r>
    </w:p>
    <w:sectPr w:rsidR="00FC693F" w:rsidRPr="0006063C" w:rsidSect="00034616">
      <w:footerReference w:type="default" r:id="rId9"/>
      <w:pgSz w:w="11906" w:h="16838"/>
      <w:pgMar w:top="1077" w:right="1134" w:bottom="1020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 CJK SC" w:hAnsi="Noto Sans CJK SC" w:eastAsia="Noto Sans CJK SC" w:cs="Noto Sans CJK SC"/>
        <w:color w:val="000000"/>
        <w:sz w:val="17"/>
      </w:rPr>
    </w:r>
    <w:fldSimple w:instr="PAGE"/>
    <w:r>
      <w:rPr>
        <w:rFonts w:ascii="Noto Sans CJK SC" w:hAnsi="Noto Sans CJK SC" w:eastAsia="Noto Sans CJK SC" w:cs="Noto Sans CJK SC"/>
        <w:color w:val="000000"/>
        <w:sz w:val="17"/>
      </w:rPr>
      <w:t xml:space="preserve"> / </w:t>
    </w:r>
    <w:r>
      <w:rPr>
        <w:rFonts w:ascii="Noto Sans CJK SC" w:hAnsi="Noto Sans CJK SC" w:eastAsia="Noto Sans CJK SC" w:cs="Noto Sans CJK SC"/>
        <w:color w:val="000000"/>
        <w:sz w:val="17"/>
      </w:rPr>
    </w:r>
    <w:fldSimple w:instr="NUMPAGES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Noto Sans CJK SC" w:hAnsi="Noto Sans CJK SC" w:eastAsia="Noto Sans CJK SC" w:cs="Noto Sans CJK SC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Lines/>
      <w:widowControl/>
      <w:spacing w:line="295" w:lineRule="auto" w:after="120"/>
    </w:pPr>
    <w:rPr>
      <w:rFonts w:ascii="Noto Sans CJK SC" w:hAnsi="Noto Sans CJK SC" w:eastAsia="Noto Sans CJK SC" w:cs="Noto Sans CJK SC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Noto Sans CJK SC" w:hAnsi="Noto Sans CJK SC" w:eastAsia="Noto Sans CJK SC" w:cs="Noto Sans CJK SC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Noto Sans CJK SC" w:hAnsi="Noto Sans CJK SC" w:eastAsia="Noto Sans CJK SC" w:cs="Noto Sans CJK SC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Noto Sans CJK SC" w:hAnsi="Noto Sans CJK SC" w:eastAsia="Noto Sans CJK SC" w:cs="Noto Sans CJK SC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Noto Sans CJK SC" w:hAnsi="Noto Sans CJK SC" w:eastAsia="Noto Sans CJK SC" w:cs="Noto Sans CJK SC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340" w:after="160" w:line="269" w:lineRule="auto"/>
      <w:outlineLvl w:val="0"/>
    </w:pPr>
    <w:rPr>
      <w:rFonts w:ascii="Noto Sans CJK SC" w:hAnsi="Noto Sans CJK SC" w:eastAsia="Noto Sans CJK SC" w:cs="Noto Sans CJK SC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40" w:after="120" w:line="269" w:lineRule="auto"/>
      <w:outlineLvl w:val="1"/>
    </w:pPr>
    <w:rPr>
      <w:rFonts w:ascii="Noto Sans CJK SC" w:hAnsi="Noto Sans CJK SC" w:eastAsia="Noto Sans CJK SC" w:cs="Noto Sans CJK SC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180" w:after="100" w:line="269" w:lineRule="auto"/>
      <w:outlineLvl w:val="2"/>
    </w:pPr>
    <w:rPr>
      <w:rFonts w:ascii="Noto Sans CJK SC" w:hAnsi="Noto Sans CJK SC" w:eastAsia="Noto Sans CJK SC" w:cs="Noto Sans CJK SC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Noto Sans CJK SC" w:hAnsi="Noto Sans CJK SC" w:eastAsia="Noto Sans CJK SC" w:cs="Noto Sans CJK SC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Noto Sans CJK SC" w:hAnsi="Noto Sans CJK SC" w:eastAsia="Noto Sans CJK SC" w:cs="Noto Sans CJK SC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Noto Sans CJK SC" w:hAnsi="Noto Sans CJK SC" w:eastAsia="Noto Sans CJK SC" w:cs="Noto Sans CJK SC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Noto Sans CJK SC" w:hAnsi="Noto Sans CJK SC" w:eastAsia="Noto Sans CJK SC" w:cs="Noto Sans CJK SC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Noto Sans CJK SC" w:hAnsi="Noto Sans CJK SC" w:eastAsia="Noto Sans CJK SC" w:cs="Noto Sans CJK SC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Noto Sans CJK SC" w:hAnsi="Noto Sans CJK SC" w:eastAsia="Noto Sans CJK SC" w:cs="Noto Sans CJK SC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Noto Sans CJK SC" w:hAnsi="Noto Sans CJK SC" w:eastAsia="Noto Sans CJK SC" w:cs="Noto Sans CJK SC"/>
      <w:color w:val="000000"/>
    </w:rPr>
  </w:style>
  <w:style w:type="table" w:default="1" w:styleId="TableNormal">
    <w:name w:val="Normal Table"/>
    <w:uiPriority w:val="99"/>
    <w:semiHidden/>
    <w:unhideWhenUsed/>
    <w:rPr>
      <w:rFonts w:ascii="Noto Sans CJK SC" w:hAnsi="Noto Sans CJK SC" w:eastAsia="Noto Sans CJK SC" w:cs="Noto Sans CJK SC"/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Noto Sans CJK SC" w:hAnsi="Noto Sans CJK SC" w:eastAsia="Noto Sans CJK SC" w:cs="Noto Sans CJK SC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Noto Sans CJK SC" w:hAnsi="Noto Sans CJK SC" w:eastAsia="Noto Sans CJK SC" w:cs="Noto Sans CJK SC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Noto Sans CJK SC" w:hAnsi="Noto Sans CJK SC" w:eastAsia="Noto Sans CJK SC" w:cs="Noto Sans CJK SC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Noto Sans CJK SC" w:hAnsi="Noto Sans CJK SC" w:eastAsia="Noto Sans CJK SC" w:cs="Noto Sans CJK SC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 w:val="0"/>
      <w:widowControl/>
      <w:spacing w:after="280" w:line="269" w:lineRule="auto" w:before="0"/>
      <w:contextualSpacing/>
    </w:pPr>
    <w:rPr>
      <w:rFonts w:ascii="Noto Sans CJK SC" w:hAnsi="Noto Sans CJK SC" w:eastAsia="Noto Sans CJK SC" w:cs="Noto Sans CJK SC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Noto Sans CJK SC" w:hAnsi="Noto Sans CJK SC" w:eastAsia="Noto Sans CJK SC" w:cs="Noto Sans CJK SC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 w:val="0"/>
      <w:widowControl/>
      <w:numPr>
        <w:ilvl w:val="1"/>
      </w:numPr>
      <w:spacing w:before="0" w:after="160" w:line="269" w:lineRule="auto"/>
    </w:pPr>
    <w:rPr>
      <w:rFonts w:ascii="Noto Sans CJK SC" w:hAnsi="Noto Sans CJK SC" w:eastAsia="Noto Sans CJK SC" w:cs="Noto Sans CJK SC"/>
      <w:b w:val="0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Noto Sans CJK SC" w:hAnsi="Noto Sans CJK SC" w:eastAsia="Noto Sans CJK SC" w:cs="Noto Sans CJK SC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Noto Sans CJK SC" w:hAnsi="Noto Sans CJK SC" w:eastAsia="Noto Sans CJK SC" w:cs="Noto Sans CJK SC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Noto Sans CJK SC" w:hAnsi="Noto Sans CJK SC" w:eastAsia="Noto Sans CJK SC" w:cs="Noto Sans CJK SC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Noto Sans CJK SC" w:hAnsi="Noto Sans CJK SC" w:eastAsia="Noto Sans CJK SC" w:cs="Noto Sans CJK SC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Noto Sans CJK SC" w:hAnsi="Noto Sans CJK SC" w:eastAsia="Noto Sans CJK SC" w:cs="Noto Sans CJK SC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Noto Sans CJK SC" w:hAnsi="Noto Sans CJK SC" w:eastAsia="Noto Sans CJK SC" w:cs="Noto Sans CJK SC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Noto Sans CJK SC" w:hAnsi="Noto Sans CJK SC" w:eastAsia="Noto Sans CJK SC" w:cs="Noto Sans CJK SC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Noto Sans CJK SC" w:hAnsi="Noto Sans CJK SC" w:eastAsia="Noto Sans CJK SC" w:cs="Noto Sans CJK SC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Noto Sans CJK SC" w:hAnsi="Noto Sans CJK SC" w:eastAsia="Noto Sans CJK SC" w:cs="Noto Sans CJK SC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Noto Sans CJK SC" w:hAnsi="Noto Sans CJK SC" w:eastAsia="Noto Sans CJK SC" w:cs="Noto Sans CJK SC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Noto Sans CJK SC" w:hAnsi="Noto Sans CJK SC" w:eastAsia="Noto Sans CJK SC" w:cs="Noto Sans CJK SC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Noto Sans CJK SC" w:hAnsi="Noto Sans CJK SC" w:eastAsia="Noto Sans CJK SC" w:cs="Noto Sans CJK SC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Noto Sans CJK SC" w:hAnsi="Noto Sans CJK SC" w:eastAsia="Noto Sans CJK SC" w:cs="Noto Sans CJK SC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Noto Sans CJK SC" w:hAnsi="Noto Sans CJK SC" w:eastAsia="Noto Sans CJK SC" w:cs="Noto Sans CJK SC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Noto Sans CJK SC" w:hAnsi="Noto Sans CJK SC" w:eastAsia="Noto Sans CJK SC" w:cs="Noto Sans CJK SC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Noto Sans CJK SC" w:hAnsi="Noto Sans CJK SC" w:eastAsia="Noto Sans CJK SC" w:cs="Noto Sans CJK SC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Noto Sans CJK SC" w:hAnsi="Noto Sans CJK SC" w:eastAsia="Noto Sans CJK SC" w:cs="Noto Sans CJK SC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Noto Sans CJK SC" w:hAnsi="Noto Sans CJK SC" w:eastAsia="Noto Sans CJK SC" w:cs="Noto Sans CJK SC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Noto Sans CJK SC" w:hAnsi="Noto Sans CJK SC" w:eastAsia="Noto Sans CJK SC" w:cs="Noto Sans CJK SC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Noto Sans CJK SC" w:hAnsi="Noto Sans CJK SC" w:eastAsia="Noto Sans CJK SC" w:cs="Noto Sans CJK SC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Noto Sans CJK SC" w:hAnsi="Noto Sans CJK SC" w:eastAsia="Noto Sans CJK SC" w:cs="Noto Sans CJK SC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Noto Sans CJK SC" w:hAnsi="Noto Sans CJK SC" w:eastAsia="Noto Sans CJK SC" w:cs="Noto Sans CJK SC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Noto Sans CJK SC" w:hAnsi="Noto Sans CJK SC" w:eastAsia="Noto Sans CJK SC" w:cs="Noto Sans CJK SC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Noto Sans CJK SC" w:hAnsi="Noto Sans CJK SC" w:eastAsia="Noto Sans CJK SC" w:cs="Noto Sans CJK SC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Noto Sans CJK SC" w:hAnsi="Noto Sans CJK SC" w:eastAsia="Noto Sans CJK SC" w:cs="Noto Sans CJK SC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Noto Sans CJK SC" w:hAnsi="Noto Sans CJK SC" w:eastAsia="Noto Sans CJK SC" w:cs="Noto Sans CJK SC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Noto Sans CJK SC" w:hAnsi="Noto Sans CJK SC" w:eastAsia="Noto Sans CJK SC" w:cs="Noto Sans CJK SC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Noto Sans CJK SC" w:hAnsi="Noto Sans CJK SC" w:eastAsia="Noto Sans CJK SC" w:cs="Noto Sans CJK SC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Noto Sans CJK SC" w:hAnsi="Noto Sans CJK SC" w:eastAsia="Noto Sans CJK SC" w:cs="Noto Sans CJK SC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Noto Sans CJK SC" w:hAnsi="Noto Sans CJK SC" w:eastAsia="Noto Sans CJK SC" w:cs="Noto Sans CJK SC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keepNext w:val="0"/>
      <w:widowControl/>
      <w:spacing w:line="269" w:lineRule="auto" w:before="80" w:after="140"/>
    </w:pPr>
    <w:rPr>
      <w:rFonts w:ascii="Noto Sans CJK SC" w:hAnsi="Noto Sans CJK SC" w:eastAsia="Noto Sans CJK SC" w:cs="Noto Sans CJK SC"/>
      <w:b w:val="0"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Noto Sans CJK SC" w:hAnsi="Noto Sans CJK SC" w:eastAsia="Noto Sans CJK SC" w:cs="Noto Sans CJK SC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Noto Sans CJK SC" w:hAnsi="Noto Sans CJK SC" w:eastAsia="Noto Sans CJK SC" w:cs="Noto Sans CJK SC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Noto Sans CJK SC" w:hAnsi="Noto Sans CJK SC" w:eastAsia="Noto Sans CJK SC" w:cs="Noto Sans CJK SC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Noto Sans CJK SC" w:hAnsi="Noto Sans CJK SC" w:eastAsia="Noto Sans CJK SC" w:cs="Noto Sans CJK SC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Noto Sans CJK SC" w:hAnsi="Noto Sans CJK SC" w:eastAsia="Noto Sans CJK SC" w:cs="Noto Sans CJK SC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Noto Sans CJK SC" w:hAnsi="Noto Sans CJK SC" w:eastAsia="Noto Sans CJK SC" w:cs="Noto Sans CJK SC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Noto Sans CJK SC" w:hAnsi="Noto Sans CJK SC" w:eastAsia="Noto Sans CJK SC" w:cs="Noto Sans CJK SC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Noto Sans CJK SC" w:hAnsi="Noto Sans CJK SC" w:eastAsia="Noto Sans CJK SC" w:cs="Noto Sans CJK SC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Noto Sans CJK SC" w:hAnsi="Noto Sans CJK SC" w:eastAsia="Noto Sans CJK SC" w:cs="Noto Sans CJK SC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Noto Sans CJK SC" w:hAnsi="Noto Sans CJK SC" w:eastAsia="Noto Sans CJK SC" w:cs="Noto Sans CJK SC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Noto Sans CJK SC" w:hAnsi="Noto Sans CJK SC" w:eastAsia="Noto Sans CJK SC" w:cs="Noto Sans CJK SC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Noto Sans CJK SC" w:hAnsi="Noto Sans CJK SC" w:eastAsia="Noto Sans CJK SC" w:cs="Noto Sans CJK SC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Noto Sans CJK SC" w:hAnsi="Noto Sans CJK SC" w:eastAsia="Noto Sans CJK SC" w:cs="Noto Sans CJK SC"/>
        <w:b/>
        <w:bCs/>
      </w:rPr>
    </w:tblStylePr>
    <w:tblStylePr w:type="lastCol">
      <w:rPr>
        <w:rFonts w:ascii="Noto Sans CJK SC" w:hAnsi="Noto Sans CJK SC" w:eastAsia="Noto Sans CJK SC" w:cs="Noto Sans CJK SC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Noto Sans CJK SC" w:hAnsi="Noto Sans CJK SC" w:eastAsia="Noto Sans CJK SC" w:cs="Noto Sans CJK SC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Noto Sans CJK SC" w:hAnsi="Noto Sans CJK SC" w:eastAsia="Noto Sans CJK SC" w:cs="Noto Sans CJK SC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Noto Sans CJK SC" w:hAnsi="Noto Sans CJK SC" w:eastAsia="Noto Sans CJK SC" w:cs="Noto Sans CJK SC"/>
        <w:b/>
        <w:bCs/>
      </w:rPr>
    </w:tblStylePr>
    <w:tblStylePr w:type="lastCol">
      <w:rPr>
        <w:rFonts w:ascii="Noto Sans CJK SC" w:hAnsi="Noto Sans CJK SC" w:eastAsia="Noto Sans CJK SC" w:cs="Noto Sans CJK SC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Noto Sans CJK SC" w:hAnsi="Noto Sans CJK SC" w:eastAsia="Noto Sans CJK SC" w:cs="Noto Sans CJK SC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Noto Sans CJK SC" w:hAnsi="Noto Sans CJK SC" w:eastAsia="Noto Sans CJK SC" w:cs="Noto Sans CJK SC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Noto Sans CJK SC" w:hAnsi="Noto Sans CJK SC" w:eastAsia="Noto Sans CJK SC" w:cs="Noto Sans CJK SC"/>
        <w:b/>
        <w:bCs/>
      </w:rPr>
    </w:tblStylePr>
    <w:tblStylePr w:type="lastCol">
      <w:rPr>
        <w:rFonts w:ascii="Noto Sans CJK SC" w:hAnsi="Noto Sans CJK SC" w:eastAsia="Noto Sans CJK SC" w:cs="Noto Sans CJK SC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Noto Sans CJK SC" w:hAnsi="Noto Sans CJK SC" w:eastAsia="Noto Sans CJK SC" w:cs="Noto Sans CJK SC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Noto Sans CJK SC" w:hAnsi="Noto Sans CJK SC" w:eastAsia="Noto Sans CJK SC" w:cs="Noto Sans CJK SC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Noto Sans CJK SC" w:hAnsi="Noto Sans CJK SC" w:eastAsia="Noto Sans CJK SC" w:cs="Noto Sans CJK SC"/>
        <w:b/>
        <w:bCs/>
      </w:rPr>
    </w:tblStylePr>
    <w:tblStylePr w:type="lastCol">
      <w:rPr>
        <w:rFonts w:ascii="Noto Sans CJK SC" w:hAnsi="Noto Sans CJK SC" w:eastAsia="Noto Sans CJK SC" w:cs="Noto Sans CJK SC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Noto Sans CJK SC" w:hAnsi="Noto Sans CJK SC" w:eastAsia="Noto Sans CJK SC" w:cs="Noto Sans CJK SC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Noto Sans CJK SC" w:hAnsi="Noto Sans CJK SC" w:eastAsia="Noto Sans CJK SC" w:cs="Noto Sans CJK SC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Noto Sans CJK SC" w:hAnsi="Noto Sans CJK SC" w:eastAsia="Noto Sans CJK SC" w:cs="Noto Sans CJK SC"/>
        <w:b/>
        <w:bCs/>
      </w:rPr>
    </w:tblStylePr>
    <w:tblStylePr w:type="lastCol">
      <w:rPr>
        <w:rFonts w:ascii="Noto Sans CJK SC" w:hAnsi="Noto Sans CJK SC" w:eastAsia="Noto Sans CJK SC" w:cs="Noto Sans CJK SC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Noto Sans CJK SC" w:hAnsi="Noto Sans CJK SC" w:eastAsia="Noto Sans CJK SC" w:cs="Noto Sans CJK SC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Noto Sans CJK SC" w:hAnsi="Noto Sans CJK SC" w:eastAsia="Noto Sans CJK SC" w:cs="Noto Sans CJK SC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Noto Sans CJK SC" w:hAnsi="Noto Sans CJK SC" w:eastAsia="Noto Sans CJK SC" w:cs="Noto Sans CJK SC"/>
        <w:b/>
        <w:bCs/>
      </w:rPr>
    </w:tblStylePr>
    <w:tblStylePr w:type="lastCol">
      <w:rPr>
        <w:rFonts w:ascii="Noto Sans CJK SC" w:hAnsi="Noto Sans CJK SC" w:eastAsia="Noto Sans CJK SC" w:cs="Noto Sans CJK SC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Noto Sans CJK SC" w:hAnsi="Noto Sans CJK SC" w:eastAsia="Noto Sans CJK SC" w:cs="Noto Sans CJK SC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Noto Sans CJK SC" w:hAnsi="Noto Sans CJK SC" w:eastAsia="Noto Sans CJK SC" w:cs="Noto Sans CJK SC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Noto Sans CJK SC" w:hAnsi="Noto Sans CJK SC" w:eastAsia="Noto Sans CJK SC" w:cs="Noto Sans CJK SC"/>
        <w:b/>
        <w:bCs/>
      </w:rPr>
    </w:tblStylePr>
    <w:tblStylePr w:type="lastCol">
      <w:rPr>
        <w:rFonts w:ascii="Noto Sans CJK SC" w:hAnsi="Noto Sans CJK SC" w:eastAsia="Noto Sans CJK SC" w:cs="Noto Sans CJK SC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Noto Sans CJK SC" w:hAnsi="Noto Sans CJK SC" w:eastAsia="Noto Sans CJK SC" w:cs="Noto Sans CJK SC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Noto Sans CJK SC" w:hAnsi="Noto Sans CJK SC" w:eastAsia="Noto Sans CJK SC" w:cs="Noto Sans CJK SC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Noto Sans CJK SC" w:hAnsi="Noto Sans CJK SC" w:eastAsia="Noto Sans CJK SC" w:cs="Noto Sans CJK SC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Noto Sans CJK SC" w:hAnsi="Noto Sans CJK SC" w:eastAsia="Noto Sans CJK SC" w:cs="Noto Sans CJK SC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Noto Sans CJK SC" w:hAnsi="Noto Sans CJK SC" w:eastAsia="Noto Sans CJK SC" w:cs="Noto Sans CJK SC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Noto Sans CJK SC" w:hAnsi="Noto Sans CJK SC" w:eastAsia="Noto Sans CJK SC" w:cs="Noto Sans CJK SC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Noto Sans CJK SC" w:hAnsi="Noto Sans CJK SC" w:eastAsia="Noto Sans CJK SC" w:cs="Noto Sans CJK SC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Relationship Id="rId11" Type="http://schemas.openxmlformats.org/officeDocument/2006/relationships/image" Target="media/image2.jpg"/><Relationship Id="rId12" Type="http://schemas.openxmlformats.org/officeDocument/2006/relationships/image" Target="media/image3.png"/><Relationship Id="rId13" Type="http://schemas.openxmlformats.org/officeDocument/2006/relationships/image" Target="media/image4.jpg"/><Relationship Id="rId14" Type="http://schemas.openxmlformats.org/officeDocument/2006/relationships/image" Target="media/image5.jpg"/><Relationship Id="rId15" Type="http://schemas.openxmlformats.org/officeDocument/2006/relationships/hyperlink" Target="https://newzoo.com/articles/2026-global-games-market-key-numbers" TargetMode="External"/><Relationship Id="rId16" Type="http://schemas.openxmlformats.org/officeDocument/2006/relationships/hyperlink" Target="https://arxiv.org/abs/2602.10429" TargetMode="External"/><Relationship Id="rId17" Type="http://schemas.openxmlformats.org/officeDocument/2006/relationships/hyperlink" Target="https://bauhinia-prea-2026.pages.dev/#10" TargetMode="External"/><Relationship Id="rId18" Type="http://schemas.openxmlformats.org/officeDocument/2006/relationships/hyperlink" Target="https://bauhinia-prea-2026.pages.dev/#12" TargetMode="External"/><Relationship Id="rId19" Type="http://schemas.openxmlformats.org/officeDocument/2006/relationships/hyperlink" Target="https://bauhinia-prea-dataroom-Oct.pages.dev/assets/Bauhinia-October-2026-Financial-Model.xlsx" TargetMode="External"/><Relationship Id="rId20" Type="http://schemas.openxmlformats.org/officeDocument/2006/relationships/hyperlink" Target="https://www.homebrew.co/blog-posts/building-a-different-type-of-ai-companion-tolan-developer-portola-raises-usd20-million-series-a" TargetMode="External"/><Relationship Id="rId21" Type="http://schemas.openxmlformats.org/officeDocument/2006/relationships/hyperlink" Target="https://www.generalintuition.com/" TargetMode="External"/><Relationship Id="rId22" Type="http://schemas.openxmlformats.org/officeDocument/2006/relationships/hyperlink" Target="https://www.itf.gov.hk/sc/raiseplus" TargetMode="External"/><Relationship Id="rId23" Type="http://schemas.openxmlformats.org/officeDocument/2006/relationships/hyperlink" Target="https://bauhinia-prea-visuals.pages.dev/#v1" TargetMode="External"/><Relationship Id="rId24" Type="http://schemas.openxmlformats.org/officeDocument/2006/relationships/hyperlink" Target="https://www.bilibili.com/video/BV1SkeuzLE1a/" TargetMode="External"/><Relationship Id="rId25" Type="http://schemas.openxmlformats.org/officeDocument/2006/relationships/image" Target="media/image6.jpg"/><Relationship Id="rId26" Type="http://schemas.openxmlformats.org/officeDocument/2006/relationships/hyperlink" Target="https://bauhinia-prea-dataroom-Oct.pages.dev/#demo-appendix" TargetMode="External"/><Relationship Id="rId27" Type="http://schemas.openxmlformats.org/officeDocument/2006/relationships/hyperlink" Target="https://bauhinia-prea-dataroom-Oct.pages.dev/assets/demo/se-so-internal-structure.mp4" TargetMode="External"/><Relationship Id="rId28" Type="http://schemas.openxmlformats.org/officeDocument/2006/relationships/hyperlink" Target="https://bauhinia-prea-dataroom-Oct.pages.dev/assets/demo/se-so-agent-chain.mp4" TargetMode="External"/><Relationship Id="rId29" Type="http://schemas.openxmlformats.org/officeDocument/2006/relationships/hyperlink" Target="https://bauhinia-prea-dataroom-Oct.pages.dev/assets/demo/se-so-world-demo.mp4" TargetMode="External"/><Relationship Id="rId30" Type="http://schemas.openxmlformats.org/officeDocument/2006/relationships/hyperlink" Target="https://bauhinia-prea-dataroom-Oct.pages.dev/assets/demo/se-so-expanded-demo.mp4" TargetMode="External"/><Relationship Id="rId31" Type="http://schemas.openxmlformats.org/officeDocument/2006/relationships/hyperlink" Target="https://bauhinia-prea-dataroom-Oct.pages.dev/assets/demo/agent-se-multi-agent.mp4" TargetMode="External"/><Relationship Id="rId32" Type="http://schemas.openxmlformats.org/officeDocument/2006/relationships/hyperlink" Target="https://bauhinia-prea-dataroom-Oct.pages.dev/assets/demo/farming-sim-demo.mp4" TargetMode="External"/><Relationship Id="rId33" Type="http://schemas.openxmlformats.org/officeDocument/2006/relationships/image" Target="media/image7.jpg"/><Relationship Id="rId34" Type="http://schemas.openxmlformats.org/officeDocument/2006/relationships/image" Target="media/image8.jpg"/><Relationship Id="rId35" Type="http://schemas.openxmlformats.org/officeDocument/2006/relationships/image" Target="media/image9.jpg"/><Relationship Id="rId36" Type="http://schemas.openxmlformats.org/officeDocument/2006/relationships/image" Target="media/image10.jpg"/><Relationship Id="rId37" Type="http://schemas.openxmlformats.org/officeDocument/2006/relationships/image" Target="media/image11.jpeg"/><Relationship Id="rId38" Type="http://schemas.openxmlformats.org/officeDocument/2006/relationships/image" Target="media/image12.jpeg"/><Relationship Id="rId39" Type="http://schemas.openxmlformats.org/officeDocument/2006/relationships/image" Target="media/image13.jpeg"/><Relationship Id="rId40" Type="http://schemas.openxmlformats.org/officeDocument/2006/relationships/image" Target="media/image14.jpeg"/><Relationship Id="rId41" Type="http://schemas.openxmlformats.org/officeDocument/2006/relationships/image" Target="media/image15.jpeg"/><Relationship Id="rId42" Type="http://schemas.openxmlformats.org/officeDocument/2006/relationships/image" Target="media/image16.jpeg"/><Relationship Id="rId43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Bauhinia AI Pre A Dataroom October 2026</dc:title>
  <dc:subject>Pre A investor dataroom</dc:subject>
  <dc:creator>Bauhinia AI</dc:creator>
  <cp:keywords>Bauhinia AI Aivilization Pre A October 2026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